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46FFC" w:rsidRPr="009005FB" w14:paraId="7DD3465A" w14:textId="77777777" w:rsidTr="00D4717C">
        <w:trPr>
          <w:trHeight w:hRule="exact" w:val="1418"/>
        </w:trPr>
        <w:tc>
          <w:tcPr>
            <w:tcW w:w="6804" w:type="dxa"/>
            <w:shd w:val="clear" w:color="auto" w:fill="auto"/>
            <w:vAlign w:val="center"/>
          </w:tcPr>
          <w:p w14:paraId="4A6BEE72" w14:textId="77777777" w:rsidR="00246FFC" w:rsidRPr="009005FB" w:rsidRDefault="005B3914" w:rsidP="00D4717C">
            <w:pPr>
              <w:pStyle w:val="EPName"/>
              <w:rPr>
                <w:lang w:val="en-GB"/>
              </w:rPr>
            </w:pPr>
            <w:bookmarkStart w:id="0" w:name="_GoBack"/>
            <w:bookmarkEnd w:id="0"/>
            <w:r w:rsidRPr="009005FB">
              <w:rPr>
                <w:lang w:val="en-GB"/>
              </w:rPr>
              <w:t>European Parliament</w:t>
            </w:r>
          </w:p>
          <w:p w14:paraId="29A77823" w14:textId="77777777" w:rsidR="00246FFC" w:rsidRPr="009005FB" w:rsidRDefault="00DC71E7" w:rsidP="00DC71E7">
            <w:pPr>
              <w:pStyle w:val="EPTerm"/>
              <w:rPr>
                <w:rStyle w:val="HideTWBExt"/>
                <w:noProof w:val="0"/>
                <w:vanish w:val="0"/>
                <w:color w:val="auto"/>
                <w:lang w:val="en-GB"/>
              </w:rPr>
            </w:pPr>
            <w:r w:rsidRPr="009005FB">
              <w:t>2014-2019</w:t>
            </w:r>
          </w:p>
        </w:tc>
        <w:tc>
          <w:tcPr>
            <w:tcW w:w="2268" w:type="dxa"/>
            <w:shd w:val="clear" w:color="auto" w:fill="auto"/>
          </w:tcPr>
          <w:p w14:paraId="18B89FB3" w14:textId="7C0E37CE" w:rsidR="00246FFC" w:rsidRPr="009005FB" w:rsidRDefault="00C2560F" w:rsidP="00D4717C">
            <w:pPr>
              <w:pStyle w:val="EPLogo"/>
            </w:pPr>
            <w:r>
              <w:rPr>
                <w:noProof/>
              </w:rPr>
              <w:drawing>
                <wp:inline distT="0" distB="0" distL="0" distR="0" wp14:anchorId="3AE71FC3" wp14:editId="16EC232D">
                  <wp:extent cx="1152525" cy="657225"/>
                  <wp:effectExtent l="0" t="0" r="9525" b="952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657225"/>
                          </a:xfrm>
                          <a:prstGeom prst="rect">
                            <a:avLst/>
                          </a:prstGeom>
                          <a:noFill/>
                          <a:ln>
                            <a:noFill/>
                          </a:ln>
                        </pic:spPr>
                      </pic:pic>
                    </a:graphicData>
                  </a:graphic>
                </wp:inline>
              </w:drawing>
            </w:r>
          </w:p>
        </w:tc>
      </w:tr>
    </w:tbl>
    <w:p w14:paraId="2D3EF0F8" w14:textId="77777777" w:rsidR="00921474" w:rsidRPr="009005FB" w:rsidRDefault="00921474" w:rsidP="00921474">
      <w:pPr>
        <w:pStyle w:val="LineTop"/>
        <w:rPr>
          <w:lang w:val="en-GB"/>
        </w:rPr>
      </w:pPr>
    </w:p>
    <w:p w14:paraId="62AF20C0" w14:textId="77777777" w:rsidR="00921474" w:rsidRPr="009005FB" w:rsidRDefault="00921474" w:rsidP="00921474">
      <w:pPr>
        <w:pStyle w:val="ZCommittee"/>
        <w:rPr>
          <w:lang w:val="en-GB"/>
        </w:rPr>
      </w:pPr>
      <w:r w:rsidRPr="009005FB">
        <w:rPr>
          <w:rStyle w:val="HideTWBExt"/>
          <w:noProof w:val="0"/>
          <w:lang w:val="en-GB"/>
        </w:rPr>
        <w:t>&lt;</w:t>
      </w:r>
      <w:r w:rsidRPr="009005FB">
        <w:rPr>
          <w:rStyle w:val="HideTWBExt"/>
          <w:i w:val="0"/>
          <w:noProof w:val="0"/>
          <w:lang w:val="en-GB"/>
        </w:rPr>
        <w:t>Commission</w:t>
      </w:r>
      <w:r w:rsidRPr="009005FB">
        <w:rPr>
          <w:rStyle w:val="HideTWBExt"/>
          <w:noProof w:val="0"/>
          <w:lang w:val="en-GB"/>
        </w:rPr>
        <w:t>&gt;</w:t>
      </w:r>
      <w:r w:rsidR="00DC71E7" w:rsidRPr="009005FB">
        <w:rPr>
          <w:rStyle w:val="HideTWBInt"/>
          <w:lang w:val="en-GB"/>
        </w:rPr>
        <w:t>{AFCO}</w:t>
      </w:r>
      <w:r w:rsidR="00DC71E7" w:rsidRPr="009005FB">
        <w:rPr>
          <w:lang w:val="en-GB"/>
        </w:rPr>
        <w:t>Committee on Constitutional Affairs</w:t>
      </w:r>
      <w:r w:rsidRPr="009005FB">
        <w:rPr>
          <w:rStyle w:val="HideTWBExt"/>
          <w:noProof w:val="0"/>
          <w:lang w:val="en-GB"/>
        </w:rPr>
        <w:t>&lt;/</w:t>
      </w:r>
      <w:r w:rsidRPr="009005FB">
        <w:rPr>
          <w:rStyle w:val="HideTWBExt"/>
          <w:i w:val="0"/>
          <w:noProof w:val="0"/>
          <w:lang w:val="en-GB"/>
        </w:rPr>
        <w:t>Commission</w:t>
      </w:r>
      <w:r w:rsidRPr="009005FB">
        <w:rPr>
          <w:rStyle w:val="HideTWBExt"/>
          <w:noProof w:val="0"/>
          <w:lang w:val="en-GB"/>
        </w:rPr>
        <w:t>&gt;</w:t>
      </w:r>
    </w:p>
    <w:p w14:paraId="73884A9A" w14:textId="77777777" w:rsidR="00921474" w:rsidRPr="009005FB" w:rsidRDefault="00921474" w:rsidP="00921474">
      <w:pPr>
        <w:pStyle w:val="LineBottom"/>
      </w:pPr>
    </w:p>
    <w:p w14:paraId="4EA2E284" w14:textId="77777777" w:rsidR="009E6E1A" w:rsidRPr="009005FB" w:rsidRDefault="009E6E1A">
      <w:pPr>
        <w:pStyle w:val="RefProc"/>
      </w:pPr>
      <w:r w:rsidRPr="009005FB">
        <w:rPr>
          <w:rStyle w:val="HideTWBExt"/>
          <w:b w:val="0"/>
          <w:noProof w:val="0"/>
        </w:rPr>
        <w:t>&lt;</w:t>
      </w:r>
      <w:r w:rsidRPr="009005FB">
        <w:rPr>
          <w:rStyle w:val="HideTWBExt"/>
          <w:b w:val="0"/>
          <w:caps w:val="0"/>
          <w:noProof w:val="0"/>
        </w:rPr>
        <w:t>RefProc</w:t>
      </w:r>
      <w:r w:rsidRPr="009005FB">
        <w:rPr>
          <w:rStyle w:val="HideTWBExt"/>
          <w:b w:val="0"/>
          <w:noProof w:val="0"/>
        </w:rPr>
        <w:t>&gt;</w:t>
      </w:r>
      <w:r w:rsidR="00DC71E7" w:rsidRPr="009005FB">
        <w:t>2017/2054</w:t>
      </w:r>
      <w:r w:rsidRPr="009005FB">
        <w:rPr>
          <w:rStyle w:val="HideTWBExt"/>
          <w:b w:val="0"/>
          <w:noProof w:val="0"/>
        </w:rPr>
        <w:t>&lt;/</w:t>
      </w:r>
      <w:r w:rsidRPr="009005FB">
        <w:rPr>
          <w:rStyle w:val="HideTWBExt"/>
          <w:b w:val="0"/>
          <w:caps w:val="0"/>
          <w:noProof w:val="0"/>
        </w:rPr>
        <w:t>RefProc</w:t>
      </w:r>
      <w:r w:rsidRPr="009005FB">
        <w:rPr>
          <w:rStyle w:val="HideTWBExt"/>
          <w:b w:val="0"/>
          <w:noProof w:val="0"/>
        </w:rPr>
        <w:t>&gt;&lt;</w:t>
      </w:r>
      <w:r w:rsidRPr="009005FB">
        <w:rPr>
          <w:rStyle w:val="HideTWBExt"/>
          <w:b w:val="0"/>
          <w:caps w:val="0"/>
          <w:noProof w:val="0"/>
        </w:rPr>
        <w:t>RefTypeProc</w:t>
      </w:r>
      <w:r w:rsidRPr="009005FB">
        <w:rPr>
          <w:rStyle w:val="HideTWBExt"/>
          <w:b w:val="0"/>
          <w:noProof w:val="0"/>
        </w:rPr>
        <w:t>&gt;</w:t>
      </w:r>
      <w:r w:rsidRPr="009005FB">
        <w:t>(IN</w:t>
      </w:r>
      <w:r w:rsidR="00180885" w:rsidRPr="009005FB">
        <w:t>L</w:t>
      </w:r>
      <w:r w:rsidRPr="009005FB">
        <w:t>)</w:t>
      </w:r>
      <w:r w:rsidRPr="009005FB">
        <w:rPr>
          <w:rStyle w:val="HideTWBExt"/>
          <w:b w:val="0"/>
          <w:noProof w:val="0"/>
        </w:rPr>
        <w:t>&lt;/</w:t>
      </w:r>
      <w:r w:rsidRPr="009005FB">
        <w:rPr>
          <w:rStyle w:val="HideTWBExt"/>
          <w:b w:val="0"/>
          <w:caps w:val="0"/>
          <w:noProof w:val="0"/>
        </w:rPr>
        <w:t>RefTypeProc</w:t>
      </w:r>
      <w:r w:rsidRPr="009005FB">
        <w:rPr>
          <w:rStyle w:val="HideTWBExt"/>
          <w:b w:val="0"/>
          <w:noProof w:val="0"/>
        </w:rPr>
        <w:t>&gt;</w:t>
      </w:r>
    </w:p>
    <w:p w14:paraId="59D8C36F" w14:textId="77777777" w:rsidR="009E6E1A" w:rsidRPr="009005FB" w:rsidRDefault="009E6E1A">
      <w:pPr>
        <w:pStyle w:val="ZDate"/>
      </w:pPr>
      <w:r w:rsidRPr="009005FB">
        <w:rPr>
          <w:rStyle w:val="HideTWBExt"/>
          <w:noProof w:val="0"/>
        </w:rPr>
        <w:t>&lt;Date&gt;</w:t>
      </w:r>
      <w:r w:rsidR="00DC71E7" w:rsidRPr="009005FB">
        <w:rPr>
          <w:rStyle w:val="HideTWBInt"/>
        </w:rPr>
        <w:t>{</w:t>
      </w:r>
      <w:r w:rsidR="00ED56B7" w:rsidRPr="009005FB">
        <w:rPr>
          <w:rStyle w:val="HideTWBInt"/>
        </w:rPr>
        <w:t>07</w:t>
      </w:r>
      <w:r w:rsidR="00DC71E7" w:rsidRPr="009005FB">
        <w:rPr>
          <w:rStyle w:val="HideTWBInt"/>
        </w:rPr>
        <w:t>/0</w:t>
      </w:r>
      <w:r w:rsidR="00ED56B7" w:rsidRPr="009005FB">
        <w:rPr>
          <w:rStyle w:val="HideTWBInt"/>
        </w:rPr>
        <w:t>9</w:t>
      </w:r>
      <w:r w:rsidR="00DC71E7" w:rsidRPr="009005FB">
        <w:rPr>
          <w:rStyle w:val="HideTWBInt"/>
        </w:rPr>
        <w:t>/2017}</w:t>
      </w:r>
      <w:r w:rsidR="00ED56B7" w:rsidRPr="009005FB">
        <w:t>7</w:t>
      </w:r>
      <w:r w:rsidR="00DC71E7" w:rsidRPr="009005FB">
        <w:t>.</w:t>
      </w:r>
      <w:r w:rsidR="00ED56B7" w:rsidRPr="009005FB">
        <w:t>9</w:t>
      </w:r>
      <w:r w:rsidR="00DC71E7" w:rsidRPr="009005FB">
        <w:t>.2017</w:t>
      </w:r>
      <w:r w:rsidRPr="009005FB">
        <w:rPr>
          <w:rStyle w:val="HideTWBExt"/>
          <w:noProof w:val="0"/>
        </w:rPr>
        <w:t>&lt;/Date&gt;</w:t>
      </w:r>
    </w:p>
    <w:p w14:paraId="6BCE5F39" w14:textId="77777777" w:rsidR="009E6E1A" w:rsidRPr="009005FB" w:rsidRDefault="009E6E1A">
      <w:pPr>
        <w:pStyle w:val="TypeDoc"/>
      </w:pPr>
      <w:r w:rsidRPr="009005FB">
        <w:rPr>
          <w:rStyle w:val="HideTWBExt"/>
          <w:b w:val="0"/>
          <w:noProof w:val="0"/>
        </w:rPr>
        <w:t>&lt;TitreType&gt;</w:t>
      </w:r>
      <w:r w:rsidR="005B3914" w:rsidRPr="009005FB">
        <w:t>DRAFT REPORT</w:t>
      </w:r>
      <w:r w:rsidRPr="009005FB">
        <w:rPr>
          <w:rStyle w:val="HideTWBExt"/>
          <w:b w:val="0"/>
          <w:noProof w:val="0"/>
        </w:rPr>
        <w:t>&lt;/TitreType&gt;</w:t>
      </w:r>
    </w:p>
    <w:p w14:paraId="67280F1B" w14:textId="77777777" w:rsidR="009E6E1A" w:rsidRPr="009005FB" w:rsidRDefault="009E6E1A">
      <w:pPr>
        <w:pStyle w:val="CoverNormal"/>
      </w:pPr>
      <w:r w:rsidRPr="009005FB">
        <w:rPr>
          <w:rStyle w:val="HideTWBExt"/>
          <w:noProof w:val="0"/>
        </w:rPr>
        <w:t>&lt;Titre&gt;</w:t>
      </w:r>
      <w:r w:rsidR="00DC71E7" w:rsidRPr="009005FB">
        <w:t>on the composition of the European Parliament</w:t>
      </w:r>
      <w:r w:rsidR="009E640F" w:rsidRPr="009005FB">
        <w:t xml:space="preserve"> </w:t>
      </w:r>
      <w:r w:rsidR="00DC71E7" w:rsidRPr="009005FB">
        <w:rPr>
          <w:rStyle w:val="HideTWBExt"/>
          <w:noProof w:val="0"/>
        </w:rPr>
        <w:t>&lt;</w:t>
      </w:r>
      <w:r w:rsidR="009E640F" w:rsidRPr="009005FB">
        <w:rPr>
          <w:rStyle w:val="HideTWBExt"/>
          <w:noProof w:val="0"/>
        </w:rPr>
        <w:t>/</w:t>
      </w:r>
      <w:r w:rsidR="00DC71E7" w:rsidRPr="009005FB">
        <w:rPr>
          <w:rStyle w:val="HideTWBExt"/>
          <w:noProof w:val="0"/>
        </w:rPr>
        <w:t>Titre&gt;</w:t>
      </w:r>
    </w:p>
    <w:p w14:paraId="06D87353" w14:textId="77777777" w:rsidR="009E6E1A" w:rsidRPr="009005FB" w:rsidRDefault="009E6E1A">
      <w:pPr>
        <w:pStyle w:val="Cover24"/>
      </w:pPr>
      <w:r w:rsidRPr="009005FB">
        <w:rPr>
          <w:rStyle w:val="HideTWBExt"/>
          <w:noProof w:val="0"/>
        </w:rPr>
        <w:t>&lt;DocRef&gt;</w:t>
      </w:r>
      <w:r w:rsidR="005B3914" w:rsidRPr="009005FB">
        <w:t>(</w:t>
      </w:r>
      <w:r w:rsidR="00DC71E7" w:rsidRPr="009005FB">
        <w:t>2017/2054</w:t>
      </w:r>
      <w:r w:rsidR="005B3914" w:rsidRPr="009005FB">
        <w:t>(INL))</w:t>
      </w:r>
      <w:r w:rsidRPr="009005FB">
        <w:rPr>
          <w:rStyle w:val="HideTWBExt"/>
          <w:noProof w:val="0"/>
        </w:rPr>
        <w:t>&lt;/DocRef&gt;</w:t>
      </w:r>
    </w:p>
    <w:p w14:paraId="38CCFBF0" w14:textId="77777777" w:rsidR="009E6E1A" w:rsidRPr="009005FB" w:rsidRDefault="009E6E1A">
      <w:pPr>
        <w:pStyle w:val="Cover24"/>
      </w:pPr>
      <w:r w:rsidRPr="009005FB">
        <w:rPr>
          <w:rStyle w:val="HideTWBExt"/>
          <w:noProof w:val="0"/>
        </w:rPr>
        <w:t>&lt;Commission&gt;</w:t>
      </w:r>
      <w:r w:rsidR="00DC71E7" w:rsidRPr="009005FB">
        <w:rPr>
          <w:rStyle w:val="HideTWBInt"/>
        </w:rPr>
        <w:t>{AFCO}</w:t>
      </w:r>
      <w:r w:rsidR="00DC71E7" w:rsidRPr="009005FB">
        <w:t>Committee on Constitutional Affairs</w:t>
      </w:r>
      <w:r w:rsidRPr="009005FB">
        <w:rPr>
          <w:rStyle w:val="HideTWBExt"/>
          <w:noProof w:val="0"/>
        </w:rPr>
        <w:t>&lt;/Commission&gt;</w:t>
      </w:r>
    </w:p>
    <w:p w14:paraId="2AE9F64A" w14:textId="77777777" w:rsidR="009E6E1A" w:rsidRPr="009005FB" w:rsidRDefault="005B3914">
      <w:pPr>
        <w:pStyle w:val="Cover12"/>
        <w:rPr>
          <w:lang w:val="pt-PT"/>
        </w:rPr>
      </w:pPr>
      <w:r w:rsidRPr="009005FB">
        <w:rPr>
          <w:lang w:val="pt-PT"/>
        </w:rPr>
        <w:t>Rapporteur</w:t>
      </w:r>
      <w:r w:rsidR="00AD1467" w:rsidRPr="009005FB">
        <w:rPr>
          <w:lang w:val="pt-PT"/>
        </w:rPr>
        <w:t>s</w:t>
      </w:r>
      <w:r w:rsidRPr="009005FB">
        <w:rPr>
          <w:lang w:val="pt-PT"/>
        </w:rPr>
        <w:t>:</w:t>
      </w:r>
      <w:r w:rsidR="009E6E1A" w:rsidRPr="009005FB">
        <w:rPr>
          <w:lang w:val="pt-PT"/>
        </w:rPr>
        <w:t xml:space="preserve"> </w:t>
      </w:r>
      <w:r w:rsidR="009E6E1A" w:rsidRPr="009005FB">
        <w:rPr>
          <w:rStyle w:val="HideTWBExt"/>
          <w:noProof w:val="0"/>
          <w:lang w:val="pt-PT"/>
        </w:rPr>
        <w:t>&lt;Depute&gt;</w:t>
      </w:r>
      <w:r w:rsidR="00DC71E7" w:rsidRPr="009005FB">
        <w:rPr>
          <w:lang w:val="pt-PT"/>
        </w:rPr>
        <w:t>Danuta Maria Hübner</w:t>
      </w:r>
      <w:r w:rsidR="00ED56B7" w:rsidRPr="009005FB">
        <w:rPr>
          <w:lang w:val="pt-PT"/>
        </w:rPr>
        <w:t xml:space="preserve"> and </w:t>
      </w:r>
      <w:r w:rsidR="00DC71E7" w:rsidRPr="009005FB">
        <w:rPr>
          <w:lang w:val="pt-PT"/>
        </w:rPr>
        <w:t>Pedro Silva Pereira</w:t>
      </w:r>
      <w:r w:rsidR="009E6E1A" w:rsidRPr="009005FB">
        <w:rPr>
          <w:rStyle w:val="HideTWBExt"/>
          <w:noProof w:val="0"/>
          <w:lang w:val="pt-PT"/>
        </w:rPr>
        <w:t>&lt;/Depute&gt;</w:t>
      </w:r>
    </w:p>
    <w:p w14:paraId="6C9A2F06" w14:textId="77777777" w:rsidR="00ED56B7" w:rsidRPr="009005FB" w:rsidRDefault="00ED56B7" w:rsidP="00BF1602">
      <w:pPr>
        <w:pStyle w:val="Cover12"/>
        <w:rPr>
          <w:lang w:val="pt-PT"/>
        </w:rPr>
      </w:pPr>
    </w:p>
    <w:p w14:paraId="29C8F974" w14:textId="77777777" w:rsidR="001A502C" w:rsidRPr="009005FB" w:rsidRDefault="001A502C" w:rsidP="001A502C">
      <w:pPr>
        <w:pStyle w:val="CoverNormal"/>
      </w:pPr>
    </w:p>
    <w:p w14:paraId="1E16A764" w14:textId="77777777" w:rsidR="009E6E1A" w:rsidRPr="009005FB" w:rsidRDefault="009E6E1A" w:rsidP="00246FFC">
      <w:pPr>
        <w:widowControl/>
        <w:tabs>
          <w:tab w:val="center" w:pos="4677"/>
        </w:tabs>
      </w:pPr>
      <w:r w:rsidRPr="009005FB">
        <w:br w:type="page"/>
      </w:r>
    </w:p>
    <w:p w14:paraId="66206F68" w14:textId="77777777" w:rsidR="009E6E1A" w:rsidRPr="009005FB" w:rsidRDefault="005B3914" w:rsidP="00246FFC">
      <w:pPr>
        <w:widowControl/>
        <w:tabs>
          <w:tab w:val="center" w:pos="4677"/>
        </w:tabs>
        <w:rPr>
          <w:lang w:val="fr-FR"/>
        </w:rPr>
      </w:pPr>
      <w:r w:rsidRPr="009005FB">
        <w:rPr>
          <w:lang w:val="fr-FR"/>
        </w:rPr>
        <w:t>PR_INL</w:t>
      </w:r>
    </w:p>
    <w:p w14:paraId="055EDEF2" w14:textId="77777777" w:rsidR="009E6E1A" w:rsidRPr="009005FB" w:rsidRDefault="005B3914">
      <w:pPr>
        <w:pStyle w:val="TOCHeading"/>
        <w:rPr>
          <w:lang w:val="fr-FR"/>
        </w:rPr>
      </w:pPr>
      <w:r w:rsidRPr="009005FB">
        <w:rPr>
          <w:lang w:val="fr-FR"/>
        </w:rPr>
        <w:t>CONTENTS</w:t>
      </w:r>
    </w:p>
    <w:p w14:paraId="239BAE8D" w14:textId="77777777" w:rsidR="009E6E1A" w:rsidRPr="009005FB" w:rsidRDefault="005B3914">
      <w:pPr>
        <w:pStyle w:val="TOCPage"/>
        <w:rPr>
          <w:lang w:val="fr-FR"/>
        </w:rPr>
      </w:pPr>
      <w:r w:rsidRPr="009005FB">
        <w:rPr>
          <w:lang w:val="fr-FR"/>
        </w:rPr>
        <w:t>Page</w:t>
      </w:r>
    </w:p>
    <w:p w14:paraId="0BAD6B1E" w14:textId="77777777" w:rsidR="00F67BD3" w:rsidRDefault="00ED56B7">
      <w:pPr>
        <w:pStyle w:val="TOC1"/>
        <w:tabs>
          <w:tab w:val="right" w:leader="dot" w:pos="9060"/>
        </w:tabs>
        <w:rPr>
          <w:rFonts w:asciiTheme="minorHAnsi" w:eastAsiaTheme="minorEastAsia" w:hAnsiTheme="minorHAnsi" w:cstheme="minorBidi"/>
          <w:noProof/>
          <w:sz w:val="22"/>
          <w:szCs w:val="22"/>
        </w:rPr>
      </w:pPr>
      <w:r w:rsidRPr="009005FB">
        <w:rPr>
          <w:b/>
        </w:rPr>
        <w:fldChar w:fldCharType="begin"/>
      </w:r>
      <w:r w:rsidRPr="009005FB">
        <w:rPr>
          <w:b/>
        </w:rPr>
        <w:instrText xml:space="preserve"> TOC \t "PageHeading</w:instrText>
      </w:r>
      <w:r w:rsidR="00F8074D" w:rsidRPr="009005FB">
        <w:rPr>
          <w:b/>
        </w:rPr>
        <w:instrText>;</w:instrText>
      </w:r>
      <w:r w:rsidRPr="009005FB">
        <w:rPr>
          <w:b/>
        </w:rPr>
        <w:instrText xml:space="preserve">1" </w:instrText>
      </w:r>
      <w:r w:rsidRPr="009005FB">
        <w:rPr>
          <w:b/>
        </w:rPr>
        <w:fldChar w:fldCharType="separate"/>
      </w:r>
      <w:r w:rsidR="00F67BD3">
        <w:rPr>
          <w:noProof/>
        </w:rPr>
        <w:t>MOTION FOR A EUROPEAN PARLIAMENT RESOLUTION</w:t>
      </w:r>
      <w:r w:rsidR="00F67BD3">
        <w:rPr>
          <w:noProof/>
        </w:rPr>
        <w:tab/>
      </w:r>
      <w:r w:rsidR="00F67BD3">
        <w:rPr>
          <w:noProof/>
        </w:rPr>
        <w:fldChar w:fldCharType="begin"/>
      </w:r>
      <w:r w:rsidR="00F67BD3">
        <w:rPr>
          <w:noProof/>
        </w:rPr>
        <w:instrText xml:space="preserve"> PAGEREF _Toc492651004 \h </w:instrText>
      </w:r>
      <w:r w:rsidR="00F67BD3">
        <w:rPr>
          <w:noProof/>
        </w:rPr>
      </w:r>
      <w:r w:rsidR="00F67BD3">
        <w:rPr>
          <w:noProof/>
        </w:rPr>
        <w:fldChar w:fldCharType="separate"/>
      </w:r>
      <w:r w:rsidR="00F67BD3">
        <w:rPr>
          <w:noProof/>
        </w:rPr>
        <w:t>3</w:t>
      </w:r>
      <w:r w:rsidR="00F67BD3">
        <w:rPr>
          <w:noProof/>
        </w:rPr>
        <w:fldChar w:fldCharType="end"/>
      </w:r>
    </w:p>
    <w:p w14:paraId="16F31E57" w14:textId="77777777" w:rsidR="00F67BD3" w:rsidRDefault="00F67BD3">
      <w:pPr>
        <w:pStyle w:val="TOC1"/>
        <w:tabs>
          <w:tab w:val="right" w:leader="dot" w:pos="9060"/>
        </w:tabs>
        <w:rPr>
          <w:rFonts w:asciiTheme="minorHAnsi" w:eastAsiaTheme="minorEastAsia" w:hAnsiTheme="minorHAnsi" w:cstheme="minorBidi"/>
          <w:noProof/>
          <w:sz w:val="22"/>
          <w:szCs w:val="22"/>
        </w:rPr>
      </w:pPr>
      <w:r>
        <w:rPr>
          <w:noProof/>
        </w:rPr>
        <w:t>ANNEX TO THE MOTION FOR A EUROPEAN PARLIAMENT RESOLUTION</w:t>
      </w:r>
      <w:r>
        <w:rPr>
          <w:noProof/>
        </w:rPr>
        <w:tab/>
      </w:r>
      <w:r>
        <w:rPr>
          <w:noProof/>
        </w:rPr>
        <w:fldChar w:fldCharType="begin"/>
      </w:r>
      <w:r>
        <w:rPr>
          <w:noProof/>
        </w:rPr>
        <w:instrText xml:space="preserve"> PAGEREF _Toc492651005 \h </w:instrText>
      </w:r>
      <w:r>
        <w:rPr>
          <w:noProof/>
        </w:rPr>
      </w:r>
      <w:r>
        <w:rPr>
          <w:noProof/>
        </w:rPr>
        <w:fldChar w:fldCharType="separate"/>
      </w:r>
      <w:r>
        <w:rPr>
          <w:noProof/>
        </w:rPr>
        <w:t>5</w:t>
      </w:r>
      <w:r>
        <w:rPr>
          <w:noProof/>
        </w:rPr>
        <w:fldChar w:fldCharType="end"/>
      </w:r>
    </w:p>
    <w:p w14:paraId="07DFAB2D" w14:textId="77777777" w:rsidR="00F67BD3" w:rsidRDefault="00F67BD3">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_Toc492651006 \h </w:instrText>
      </w:r>
      <w:r>
        <w:rPr>
          <w:noProof/>
        </w:rPr>
      </w:r>
      <w:r>
        <w:rPr>
          <w:noProof/>
        </w:rPr>
        <w:fldChar w:fldCharType="separate"/>
      </w:r>
      <w:r>
        <w:rPr>
          <w:noProof/>
        </w:rPr>
        <w:t>8</w:t>
      </w:r>
      <w:r>
        <w:rPr>
          <w:noProof/>
        </w:rPr>
        <w:fldChar w:fldCharType="end"/>
      </w:r>
    </w:p>
    <w:p w14:paraId="2AB6A056" w14:textId="77777777" w:rsidR="00F67BD3" w:rsidRDefault="00F67BD3">
      <w:pPr>
        <w:pStyle w:val="TOC1"/>
        <w:tabs>
          <w:tab w:val="right" w:leader="dot" w:pos="9060"/>
        </w:tabs>
        <w:rPr>
          <w:rFonts w:asciiTheme="minorHAnsi" w:eastAsiaTheme="minorEastAsia" w:hAnsiTheme="minorHAnsi" w:cstheme="minorBidi"/>
          <w:noProof/>
          <w:sz w:val="22"/>
          <w:szCs w:val="22"/>
        </w:rPr>
      </w:pPr>
      <w:r>
        <w:rPr>
          <w:noProof/>
        </w:rPr>
        <w:t>ANNEX I</w:t>
      </w:r>
      <w:r>
        <w:rPr>
          <w:noProof/>
        </w:rPr>
        <w:tab/>
      </w:r>
      <w:r>
        <w:rPr>
          <w:noProof/>
        </w:rPr>
        <w:fldChar w:fldCharType="begin"/>
      </w:r>
      <w:r>
        <w:rPr>
          <w:noProof/>
        </w:rPr>
        <w:instrText xml:space="preserve"> PAGEREF _Toc492651007 \h </w:instrText>
      </w:r>
      <w:r>
        <w:rPr>
          <w:noProof/>
        </w:rPr>
      </w:r>
      <w:r>
        <w:rPr>
          <w:noProof/>
        </w:rPr>
        <w:fldChar w:fldCharType="separate"/>
      </w:r>
      <w:r>
        <w:rPr>
          <w:noProof/>
        </w:rPr>
        <w:t>11</w:t>
      </w:r>
      <w:r>
        <w:rPr>
          <w:noProof/>
        </w:rPr>
        <w:fldChar w:fldCharType="end"/>
      </w:r>
    </w:p>
    <w:p w14:paraId="3D73F428" w14:textId="77777777" w:rsidR="00ED56B7" w:rsidRPr="009005FB" w:rsidRDefault="00ED56B7" w:rsidP="00ED56B7">
      <w:r w:rsidRPr="009005FB">
        <w:fldChar w:fldCharType="end"/>
      </w:r>
    </w:p>
    <w:p w14:paraId="246A8A75" w14:textId="77777777" w:rsidR="00ED56B7" w:rsidRPr="009005FB" w:rsidRDefault="00ED56B7" w:rsidP="00ED56B7"/>
    <w:p w14:paraId="264E81DF" w14:textId="77777777" w:rsidR="00ED56B7" w:rsidRPr="009005FB" w:rsidRDefault="00ED56B7" w:rsidP="00ED56B7">
      <w:pPr>
        <w:pStyle w:val="PageHeading"/>
      </w:pPr>
    </w:p>
    <w:p w14:paraId="2CD919E9" w14:textId="77777777" w:rsidR="00ED56B7" w:rsidRPr="009005FB" w:rsidRDefault="00ED56B7" w:rsidP="00ED56B7">
      <w:pPr>
        <w:pStyle w:val="PageHeading"/>
      </w:pPr>
      <w:r w:rsidRPr="009005FB">
        <w:br w:type="page"/>
      </w:r>
      <w:bookmarkStart w:id="1" w:name="_Toc492651004"/>
      <w:r w:rsidRPr="009005FB">
        <w:lastRenderedPageBreak/>
        <w:t>MOTION FOR A EUROPEAN PARLIAMENT RESOLUTION</w:t>
      </w:r>
      <w:bookmarkEnd w:id="1"/>
    </w:p>
    <w:p w14:paraId="1FC3C794" w14:textId="77777777" w:rsidR="00ED56B7" w:rsidRPr="009005FB" w:rsidRDefault="00ED56B7" w:rsidP="00ED56B7">
      <w:pPr>
        <w:pStyle w:val="NormalBold"/>
      </w:pPr>
      <w:r w:rsidRPr="009005FB">
        <w:t xml:space="preserve">on the composition of the European Parliament </w:t>
      </w:r>
    </w:p>
    <w:p w14:paraId="34CC3AA1" w14:textId="77777777" w:rsidR="00ED56B7" w:rsidRPr="009005FB" w:rsidRDefault="00ED56B7" w:rsidP="00ED56B7">
      <w:pPr>
        <w:pStyle w:val="Normal12Bold"/>
      </w:pPr>
      <w:r w:rsidRPr="009005FB">
        <w:t>(</w:t>
      </w:r>
      <w:bookmarkStart w:id="2" w:name="DocEPLastVariable"/>
      <w:bookmarkEnd w:id="2"/>
      <w:r w:rsidRPr="009005FB">
        <w:t>2017/2054(INL))</w:t>
      </w:r>
    </w:p>
    <w:p w14:paraId="19F1FF5E" w14:textId="77777777" w:rsidR="00ED56B7" w:rsidRPr="009005FB" w:rsidRDefault="00ED56B7" w:rsidP="00ED56B7">
      <w:pPr>
        <w:pStyle w:val="Normal12"/>
      </w:pPr>
      <w:r w:rsidRPr="009005FB">
        <w:rPr>
          <w:i/>
        </w:rPr>
        <w:t>The European Parliament</w:t>
      </w:r>
      <w:r w:rsidRPr="009005FB">
        <w:t>,</w:t>
      </w:r>
    </w:p>
    <w:p w14:paraId="73DE7A8F" w14:textId="77777777" w:rsidR="00ED56B7" w:rsidRPr="009005FB" w:rsidRDefault="00ED56B7" w:rsidP="00ED56B7">
      <w:pPr>
        <w:pStyle w:val="Normal12Hanging"/>
      </w:pPr>
      <w:r w:rsidRPr="009005FB">
        <w:t>–</w:t>
      </w:r>
      <w:r w:rsidRPr="009005FB">
        <w:tab/>
        <w:t>having regard to Article 14(2) of the Treaty on European Union,</w:t>
      </w:r>
    </w:p>
    <w:p w14:paraId="3910AFBE" w14:textId="77777777" w:rsidR="00ED56B7" w:rsidRPr="009005FB" w:rsidRDefault="00ED56B7" w:rsidP="00ED56B7">
      <w:pPr>
        <w:pStyle w:val="Normal12Hanging"/>
      </w:pPr>
      <w:r w:rsidRPr="009005FB">
        <w:t>–</w:t>
      </w:r>
      <w:r w:rsidRPr="009005FB">
        <w:tab/>
        <w:t>having regard to its resolution of 13 March 2013 on the composition of the European Parliament with a view to the 2014 elections</w:t>
      </w:r>
      <w:r w:rsidRPr="009005FB">
        <w:rPr>
          <w:rStyle w:val="FootnoteReference"/>
        </w:rPr>
        <w:footnoteReference w:id="1"/>
      </w:r>
      <w:r w:rsidRPr="009005FB">
        <w:t>,</w:t>
      </w:r>
    </w:p>
    <w:p w14:paraId="5032E629" w14:textId="24090536" w:rsidR="00ED56B7" w:rsidRPr="009005FB" w:rsidRDefault="00ED56B7" w:rsidP="00ED56B7">
      <w:pPr>
        <w:pStyle w:val="Normal12Hanging"/>
      </w:pPr>
      <w:r w:rsidRPr="009005FB">
        <w:t>–</w:t>
      </w:r>
      <w:r w:rsidRPr="009005FB">
        <w:tab/>
        <w:t>having regard to Rule</w:t>
      </w:r>
      <w:r w:rsidR="00BF3C25" w:rsidRPr="009005FB">
        <w:t>s</w:t>
      </w:r>
      <w:r w:rsidRPr="009005FB">
        <w:t xml:space="preserve"> 45, 52 and 84 of its Rules of Procedure,</w:t>
      </w:r>
    </w:p>
    <w:p w14:paraId="4BB4A070" w14:textId="77777777" w:rsidR="00ED56B7" w:rsidRPr="009005FB" w:rsidRDefault="00ED56B7" w:rsidP="00ED56B7">
      <w:pPr>
        <w:pStyle w:val="Normal12Hanging"/>
      </w:pPr>
      <w:r w:rsidRPr="009005FB">
        <w:t>–</w:t>
      </w:r>
      <w:r w:rsidRPr="009005FB">
        <w:tab/>
        <w:t>having regard to the report of the Committee on Constitutional Affairs (A8</w:t>
      </w:r>
      <w:r w:rsidRPr="009005FB">
        <w:noBreakHyphen/>
        <w:t>0000/2017),</w:t>
      </w:r>
    </w:p>
    <w:p w14:paraId="6B7BD7F4" w14:textId="5998998A" w:rsidR="00ED56B7" w:rsidRPr="009005FB" w:rsidRDefault="00ED56B7" w:rsidP="00ED56B7">
      <w:pPr>
        <w:pStyle w:val="Normal12Hanging"/>
        <w:jc w:val="both"/>
      </w:pPr>
      <w:r w:rsidRPr="009005FB">
        <w:t>A.</w:t>
      </w:r>
      <w:r w:rsidRPr="009005FB">
        <w:tab/>
      </w:r>
      <w:r w:rsidR="00BC764F" w:rsidRPr="009005FB">
        <w:t>w</w:t>
      </w:r>
      <w:r w:rsidRPr="009005FB">
        <w:t>hereas the composition of the European Parliament should respect the criteria laid down in the first subparagraph of Article 14(2) of the Treaty on European Union, namely representatives of the Union's citizens not exceeding seven hundred and fifty in number, plus the President, representation being degressively proportional, with a minimum threshold of six members per Member State and no Member State being alloc</w:t>
      </w:r>
      <w:r w:rsidR="005969B4" w:rsidRPr="009005FB">
        <w:t>ated more than ninety-six seats;</w:t>
      </w:r>
    </w:p>
    <w:p w14:paraId="0918A1BB" w14:textId="1D7C3C99" w:rsidR="00ED56B7" w:rsidRPr="009005FB" w:rsidRDefault="00ED56B7" w:rsidP="00ED56B7">
      <w:pPr>
        <w:pStyle w:val="Normal12Hanging"/>
        <w:jc w:val="both"/>
      </w:pPr>
      <w:r w:rsidRPr="009005FB">
        <w:t>B.</w:t>
      </w:r>
      <w:r w:rsidRPr="009005FB">
        <w:tab/>
      </w:r>
      <w:r w:rsidR="00BC764F" w:rsidRPr="009005FB">
        <w:t>w</w:t>
      </w:r>
      <w:r w:rsidRPr="009005FB">
        <w:t xml:space="preserve">hereas the United Kingdom submitted its withdrawal notification under Article 50 TEU on 29 March 2017 and therefore the Treaties and all </w:t>
      </w:r>
      <w:r w:rsidRPr="009005FB">
        <w:rPr>
          <w:i/>
        </w:rPr>
        <w:t>acquis</w:t>
      </w:r>
      <w:r w:rsidRPr="009005FB">
        <w:t xml:space="preserve"> shall cease to apply to it on the date of entry into force of the withdrawal agreement, or failing that, two years after the date of submission of its notification, meaning at the latest on 29 March 2019, unless the European Council, in agreement with the United Kingdom, unanimously decides to extend </w:t>
      </w:r>
      <w:r w:rsidR="001149AD" w:rsidRPr="009005FB">
        <w:t xml:space="preserve">that </w:t>
      </w:r>
      <w:r w:rsidRPr="009005FB">
        <w:t>period;</w:t>
      </w:r>
    </w:p>
    <w:p w14:paraId="1101409A" w14:textId="35B7A7B9" w:rsidR="00ED56B7" w:rsidRPr="009005FB" w:rsidRDefault="00ED56B7" w:rsidP="00ED56B7">
      <w:pPr>
        <w:pStyle w:val="Normal12Hanging"/>
        <w:jc w:val="both"/>
      </w:pPr>
      <w:r w:rsidRPr="009005FB">
        <w:t>C.</w:t>
      </w:r>
      <w:r w:rsidRPr="009005FB">
        <w:tab/>
      </w:r>
      <w:r w:rsidR="00BC764F" w:rsidRPr="009005FB">
        <w:t>w</w:t>
      </w:r>
      <w:r w:rsidRPr="009005FB">
        <w:t xml:space="preserve">hereas </w:t>
      </w:r>
      <w:r w:rsidR="002743C6" w:rsidRPr="009005FB">
        <w:t xml:space="preserve">it </w:t>
      </w:r>
      <w:r w:rsidRPr="009005FB">
        <w:t>examined a number of proposals for a permanent system for the distribution of seats based on mathematical formulas that were commissioned by</w:t>
      </w:r>
      <w:r w:rsidR="001149AD" w:rsidRPr="009005FB">
        <w:t>,</w:t>
      </w:r>
      <w:r w:rsidRPr="009005FB">
        <w:t xml:space="preserve"> and presented to</w:t>
      </w:r>
      <w:r w:rsidR="001149AD" w:rsidRPr="009005FB">
        <w:t>,</w:t>
      </w:r>
      <w:r w:rsidRPr="009005FB">
        <w:t xml:space="preserve"> </w:t>
      </w:r>
      <w:r w:rsidR="002743C6" w:rsidRPr="009005FB">
        <w:t>it</w:t>
      </w:r>
      <w:r w:rsidRPr="009005FB">
        <w:t xml:space="preserve">; </w:t>
      </w:r>
    </w:p>
    <w:p w14:paraId="78181A3A" w14:textId="457CDF91" w:rsidR="00ED56B7" w:rsidRPr="009005FB" w:rsidRDefault="00ED56B7" w:rsidP="00ED56B7">
      <w:pPr>
        <w:pStyle w:val="Normal12Hanging"/>
        <w:jc w:val="both"/>
      </w:pPr>
      <w:r w:rsidRPr="009005FB">
        <w:t>D.</w:t>
      </w:r>
      <w:r w:rsidRPr="009005FB">
        <w:tab/>
      </w:r>
      <w:r w:rsidR="00BC764F" w:rsidRPr="009005FB">
        <w:t>w</w:t>
      </w:r>
      <w:r w:rsidRPr="009005FB">
        <w:t>hereas</w:t>
      </w:r>
      <w:r w:rsidR="002743C6" w:rsidRPr="009005FB">
        <w:t xml:space="preserve"> its</w:t>
      </w:r>
      <w:r w:rsidRPr="009005FB">
        <w:t xml:space="preserve"> resolution of 11 November 2015 on the reform of the electoral law of the European Union</w:t>
      </w:r>
      <w:r w:rsidR="002743C6" w:rsidRPr="009005FB">
        <w:rPr>
          <w:rStyle w:val="FootnoteReference"/>
        </w:rPr>
        <w:footnoteReference w:id="2"/>
      </w:r>
      <w:r w:rsidRPr="009005FB">
        <w:t xml:space="preserve"> outlined </w:t>
      </w:r>
      <w:r w:rsidR="002743C6" w:rsidRPr="009005FB">
        <w:t xml:space="preserve"> its</w:t>
      </w:r>
      <w:r w:rsidRPr="009005FB">
        <w:t xml:space="preserve"> position on establishing a joint constituency in which lists are headed by each political family’s candidate for the post of President of the Commission; </w:t>
      </w:r>
    </w:p>
    <w:p w14:paraId="4FB30B72" w14:textId="3A30EACC" w:rsidR="00ED56B7" w:rsidRPr="009005FB" w:rsidRDefault="00ED56B7" w:rsidP="00ED56B7">
      <w:pPr>
        <w:pStyle w:val="Normal12Hanging"/>
        <w:jc w:val="both"/>
      </w:pPr>
      <w:r w:rsidRPr="009005FB">
        <w:t>E.</w:t>
      </w:r>
      <w:r w:rsidRPr="009005FB">
        <w:tab/>
      </w:r>
      <w:r w:rsidR="00BC764F" w:rsidRPr="009005FB">
        <w:t>w</w:t>
      </w:r>
      <w:r w:rsidRPr="009005FB">
        <w:t>hereas</w:t>
      </w:r>
      <w:r w:rsidR="002743C6" w:rsidRPr="009005FB">
        <w:t xml:space="preserve"> a</w:t>
      </w:r>
      <w:r w:rsidRPr="009005FB">
        <w:t xml:space="preserve"> modification of the electoral law of the EU will be necessary to create the legal basis for such a joint constituency;</w:t>
      </w:r>
    </w:p>
    <w:p w14:paraId="22CAEF4E" w14:textId="01AC6735" w:rsidR="00ED56B7" w:rsidRPr="009005FB" w:rsidRDefault="00ED56B7" w:rsidP="00ED56B7">
      <w:pPr>
        <w:pStyle w:val="Normal12Hanging"/>
        <w:jc w:val="both"/>
      </w:pPr>
      <w:r w:rsidRPr="009005FB">
        <w:t>1.</w:t>
      </w:r>
      <w:r w:rsidRPr="009005FB">
        <w:tab/>
        <w:t>Acknowledges that the current distribution of seats only partially respects the principle of degressive proportionality</w:t>
      </w:r>
      <w:r w:rsidR="001149AD" w:rsidRPr="009005FB">
        <w:t>,</w:t>
      </w:r>
      <w:r w:rsidRPr="009005FB">
        <w:t xml:space="preserve"> and </w:t>
      </w:r>
      <w:r w:rsidR="001149AD" w:rsidRPr="009005FB">
        <w:t xml:space="preserve">therefore </w:t>
      </w:r>
      <w:r w:rsidRPr="009005FB">
        <w:t>should be corrected as soon as possible;</w:t>
      </w:r>
    </w:p>
    <w:p w14:paraId="5E4B4379" w14:textId="6EE61E19" w:rsidR="00ED56B7" w:rsidRPr="009005FB" w:rsidRDefault="00ED56B7" w:rsidP="00ED56B7">
      <w:pPr>
        <w:pStyle w:val="Normal12Hanging"/>
        <w:jc w:val="both"/>
      </w:pPr>
      <w:r w:rsidRPr="009005FB">
        <w:t>2.</w:t>
      </w:r>
      <w:r w:rsidRPr="009005FB">
        <w:tab/>
        <w:t xml:space="preserve">Recognises the legal uncertainty created by the triggering of Article 50 of the Treaty on European Union by the United Kingdom, the unknown date for finalisation of the Brexit </w:t>
      </w:r>
      <w:r w:rsidRPr="009005FB">
        <w:lastRenderedPageBreak/>
        <w:t xml:space="preserve">negotiations and the impossibility </w:t>
      </w:r>
      <w:r w:rsidR="001149AD" w:rsidRPr="009005FB">
        <w:t xml:space="preserve">of </w:t>
      </w:r>
      <w:r w:rsidRPr="009005FB">
        <w:t>adjust</w:t>
      </w:r>
      <w:r w:rsidR="001149AD" w:rsidRPr="009005FB">
        <w:t>ing</w:t>
      </w:r>
      <w:r w:rsidR="00C978E3" w:rsidRPr="009005FB">
        <w:t>,</w:t>
      </w:r>
      <w:r w:rsidRPr="009005FB">
        <w:t xml:space="preserve"> </w:t>
      </w:r>
      <w:r w:rsidR="00C978E3" w:rsidRPr="009005FB">
        <w:t xml:space="preserve">without a change in the Treaty, </w:t>
      </w:r>
      <w:r w:rsidRPr="009005FB">
        <w:t xml:space="preserve">the </w:t>
      </w:r>
      <w:r w:rsidR="00C978E3" w:rsidRPr="009005FB">
        <w:t xml:space="preserve">Council’s </w:t>
      </w:r>
      <w:r w:rsidRPr="009005FB">
        <w:t>qualified majority voting system, which should be defined in connection with the allocation of seats in Parliament in order to better ensure the inter-institutional balance;</w:t>
      </w:r>
    </w:p>
    <w:p w14:paraId="08686562" w14:textId="0D1D9840" w:rsidR="00ED56B7" w:rsidRPr="009005FB" w:rsidRDefault="00ED56B7" w:rsidP="00ED56B7">
      <w:pPr>
        <w:pStyle w:val="Normal12Hanging"/>
        <w:jc w:val="both"/>
      </w:pPr>
      <w:r w:rsidRPr="009005FB">
        <w:t>3.</w:t>
      </w:r>
      <w:r w:rsidRPr="009005FB">
        <w:tab/>
        <w:t>Underlines that</w:t>
      </w:r>
      <w:r w:rsidR="001149AD" w:rsidRPr="009005FB">
        <w:t>,</w:t>
      </w:r>
      <w:r w:rsidRPr="009005FB">
        <w:t xml:space="preserve"> whilst the mathematical formulas display great potential for providing a permanent system for the distribution of seats in the future, the political and legal uncertainty as a result of the UK’s withdrawal from the EU ultimately make it politically unviable for Parliament to suggest a permanent system at this stage;</w:t>
      </w:r>
    </w:p>
    <w:p w14:paraId="28060DB6" w14:textId="436689C5" w:rsidR="00ED56B7" w:rsidRPr="009005FB" w:rsidRDefault="00ED56B7" w:rsidP="00ED56B7">
      <w:pPr>
        <w:pStyle w:val="Normal12Hanging"/>
        <w:jc w:val="both"/>
      </w:pPr>
      <w:r w:rsidRPr="009005FB">
        <w:t>4.</w:t>
      </w:r>
      <w:r w:rsidRPr="009005FB">
        <w:tab/>
        <w:t xml:space="preserve">Notes that until the United Kingdom withdraws from the Union, the most viable solution providing legal certainty to Member States would be to maintain the same distribution of seats in Parliament as the one applied </w:t>
      </w:r>
      <w:r w:rsidR="001149AD" w:rsidRPr="009005FB">
        <w:t xml:space="preserve">in respect of </w:t>
      </w:r>
      <w:r w:rsidRPr="009005FB">
        <w:t>the 2014 - 2019 parliamentary term;</w:t>
      </w:r>
    </w:p>
    <w:p w14:paraId="0B48BFEF" w14:textId="77777777" w:rsidR="00ED56B7" w:rsidRPr="009005FB" w:rsidRDefault="00ED56B7" w:rsidP="00ED56B7">
      <w:pPr>
        <w:pStyle w:val="Normal12Hanging"/>
        <w:jc w:val="both"/>
      </w:pPr>
      <w:r w:rsidRPr="009005FB">
        <w:t>5.</w:t>
      </w:r>
      <w:r w:rsidRPr="009005FB">
        <w:tab/>
        <w:t>Proposes that a new distribution of seats in Parliament should immediately apply once there is legal certainty and the United Kingdom’s withdrawal from the Union becomes legally effective; insists that the MEPs that will occupy the seats resulting from this new distribution shall all take up their seats in Parliament at the same time;</w:t>
      </w:r>
    </w:p>
    <w:p w14:paraId="00F7EBE0" w14:textId="4FC01F16" w:rsidR="00ED56B7" w:rsidRPr="009005FB" w:rsidRDefault="00ED56B7" w:rsidP="00ED56B7">
      <w:pPr>
        <w:pStyle w:val="Normal12Hanging"/>
        <w:jc w:val="both"/>
      </w:pPr>
      <w:r w:rsidRPr="009005FB">
        <w:t>6.</w:t>
      </w:r>
      <w:r w:rsidRPr="009005FB">
        <w:tab/>
        <w:t xml:space="preserve">Proposes that this new distribution of seats should be fair, objective and based on the following principles: respect for the principle of degressive proportionality, no loss of seats for any Member State, and </w:t>
      </w:r>
      <w:r w:rsidR="001149AD" w:rsidRPr="009005FB">
        <w:t xml:space="preserve">the use of </w:t>
      </w:r>
      <w:r w:rsidRPr="009005FB">
        <w:t>only a minimal fraction of the seats vacated by the UK;</w:t>
      </w:r>
    </w:p>
    <w:p w14:paraId="42209EC1" w14:textId="187564A3" w:rsidR="00ED56B7" w:rsidRPr="009005FB" w:rsidRDefault="00ED56B7" w:rsidP="00ED56B7">
      <w:pPr>
        <w:pStyle w:val="Normal12Hanging"/>
        <w:jc w:val="both"/>
      </w:pPr>
      <w:r w:rsidRPr="009005FB">
        <w:t>7.</w:t>
      </w:r>
      <w:r w:rsidRPr="009005FB">
        <w:tab/>
        <w:t xml:space="preserve">Underlines that the new distribution proposed would allow for a reduction in the size of Parliament to 699 members plus the President, thereby leaving sufficient room for manoeuvre to accommodate potential future enlargements of the EU and members elected in </w:t>
      </w:r>
      <w:r w:rsidR="002743C6" w:rsidRPr="009005FB">
        <w:t xml:space="preserve">a </w:t>
      </w:r>
      <w:r w:rsidRPr="009005FB">
        <w:t>joint constituency;</w:t>
      </w:r>
    </w:p>
    <w:p w14:paraId="78773CA9" w14:textId="6AA28C4A" w:rsidR="00ED56B7" w:rsidRPr="009005FB" w:rsidRDefault="00ED56B7" w:rsidP="00ED56B7">
      <w:pPr>
        <w:pStyle w:val="Normal12Hanging"/>
        <w:jc w:val="both"/>
      </w:pPr>
      <w:r w:rsidRPr="009005FB">
        <w:t>8.</w:t>
      </w:r>
      <w:r w:rsidRPr="009005FB">
        <w:tab/>
        <w:t xml:space="preserve">Considers that the proposed distribution based on principles provides a solid foundation for the future establishment of a permanent system and calls for the adoption of such permanent system in the near future; proposes that this system be chosen well in advance of the </w:t>
      </w:r>
      <w:r w:rsidR="002743C6" w:rsidRPr="009005FB">
        <w:t>e</w:t>
      </w:r>
      <w:r w:rsidRPr="009005FB">
        <w:t>lections</w:t>
      </w:r>
      <w:r w:rsidR="002743C6" w:rsidRPr="009005FB">
        <w:t xml:space="preserve"> to the European Parliament</w:t>
      </w:r>
      <w:r w:rsidRPr="009005FB">
        <w:t xml:space="preserve"> in 2024;</w:t>
      </w:r>
    </w:p>
    <w:p w14:paraId="115F0FF1" w14:textId="5F4D7AED" w:rsidR="002B3F41" w:rsidRPr="009005FB" w:rsidRDefault="00ED56B7" w:rsidP="002B3F41">
      <w:pPr>
        <w:pStyle w:val="Normal12Hanging"/>
        <w:jc w:val="both"/>
      </w:pPr>
      <w:r w:rsidRPr="009005FB">
        <w:t>9.</w:t>
      </w:r>
      <w:r w:rsidRPr="009005FB">
        <w:tab/>
        <w:t xml:space="preserve">Submits to the European Council the annexed proposal for a decision of the European Council establishing the composition of the European Parliament, on the basis of its right of initiative laid down in Article 14(2) of the Treaty on European Union; </w:t>
      </w:r>
      <w:r w:rsidR="001149AD" w:rsidRPr="009005FB">
        <w:t>u</w:t>
      </w:r>
      <w:r w:rsidRPr="009005FB">
        <w:t xml:space="preserve">nderlines the urgent need to adopt that decision, which requires its consent, so that the Member States can enact, in good time, the necessary domestic provisions </w:t>
      </w:r>
      <w:r w:rsidR="001149AD" w:rsidRPr="009005FB">
        <w:t xml:space="preserve">to enable them to </w:t>
      </w:r>
      <w:r w:rsidRPr="009005FB">
        <w:t>organis</w:t>
      </w:r>
      <w:r w:rsidR="001149AD" w:rsidRPr="009005FB">
        <w:t>e</w:t>
      </w:r>
      <w:r w:rsidRPr="009005FB">
        <w:t xml:space="preserve"> the elections to the European Parliament for the 2019 - 2024 parliamentary term;</w:t>
      </w:r>
    </w:p>
    <w:p w14:paraId="06F33D70" w14:textId="77777777" w:rsidR="00ED56B7" w:rsidRPr="009005FB" w:rsidRDefault="005969B4" w:rsidP="002B3F41">
      <w:pPr>
        <w:pStyle w:val="Normal12Hanging"/>
        <w:jc w:val="both"/>
      </w:pPr>
      <w:r w:rsidRPr="009005FB">
        <w:t>10</w:t>
      </w:r>
      <w:r w:rsidR="002B3F41" w:rsidRPr="009005FB">
        <w:t>.</w:t>
      </w:r>
      <w:r w:rsidR="002B3F41" w:rsidRPr="009005FB">
        <w:tab/>
      </w:r>
      <w:r w:rsidR="00ED56B7" w:rsidRPr="009005FB">
        <w:t>Instructs its President to forward this resolution and the proposal for a decision of the European Council annexed hereto, together with the aforementioned report of its Committee on Constitutional Affairs, to the European Council, to the Commission and the governments and parliaments of the Member States.</w:t>
      </w:r>
    </w:p>
    <w:p w14:paraId="3C889D99" w14:textId="77777777" w:rsidR="00ED56B7" w:rsidRPr="009005FB" w:rsidRDefault="00ED56B7" w:rsidP="00ED56B7">
      <w:r w:rsidRPr="009005FB">
        <w:br w:type="page"/>
      </w:r>
    </w:p>
    <w:p w14:paraId="6012BAFD" w14:textId="77777777" w:rsidR="00ED56B7" w:rsidRPr="009005FB" w:rsidRDefault="00ED56B7" w:rsidP="00ED56B7">
      <w:pPr>
        <w:pStyle w:val="PageHeading"/>
      </w:pPr>
      <w:bookmarkStart w:id="3" w:name="_Toc492651005"/>
      <w:r w:rsidRPr="009005FB">
        <w:t>ANNEX TO THE MOTION FOR A EUROPEAN PARLIAMENT RESOLUTION</w:t>
      </w:r>
      <w:bookmarkEnd w:id="3"/>
    </w:p>
    <w:p w14:paraId="499C75E5" w14:textId="77777777" w:rsidR="00ED56B7" w:rsidRPr="009005FB" w:rsidRDefault="00ED56B7" w:rsidP="00ED56B7">
      <w:r w:rsidRPr="009005FB">
        <w:t>Proposal for a decision of the European Council establishing the composition of the European Parliament</w:t>
      </w:r>
    </w:p>
    <w:p w14:paraId="1263A0F2" w14:textId="77777777" w:rsidR="00ED56B7" w:rsidRPr="009005FB" w:rsidRDefault="00ED56B7" w:rsidP="00ED56B7"/>
    <w:p w14:paraId="132213B9" w14:textId="77777777" w:rsidR="00ED56B7" w:rsidRPr="009005FB" w:rsidRDefault="00ED56B7" w:rsidP="00ED56B7"/>
    <w:p w14:paraId="1D5B4F57" w14:textId="77777777" w:rsidR="00ED56B7" w:rsidRPr="009005FB" w:rsidRDefault="00ED56B7" w:rsidP="00ED56B7">
      <w:r w:rsidRPr="009005FB">
        <w:t>THE EUROPEAN COUNCIL,</w:t>
      </w:r>
    </w:p>
    <w:p w14:paraId="52FF79BF" w14:textId="77777777" w:rsidR="00ED56B7" w:rsidRPr="009005FB" w:rsidRDefault="00ED56B7" w:rsidP="00ED56B7"/>
    <w:p w14:paraId="2DEE769E" w14:textId="77777777" w:rsidR="00ED56B7" w:rsidRPr="009005FB" w:rsidRDefault="00ED56B7" w:rsidP="00ED56B7">
      <w:r w:rsidRPr="009005FB">
        <w:t>Having regard to the Treaty on European Union, and in particular Article 14(2) thereof,</w:t>
      </w:r>
    </w:p>
    <w:p w14:paraId="30496A42" w14:textId="77777777" w:rsidR="00ED56B7" w:rsidRPr="009005FB" w:rsidRDefault="00ED56B7" w:rsidP="00ED56B7"/>
    <w:p w14:paraId="0B7E3E2C" w14:textId="77777777" w:rsidR="00ED56B7" w:rsidRPr="009005FB" w:rsidRDefault="00ED56B7" w:rsidP="00ED56B7">
      <w:r w:rsidRPr="009005FB">
        <w:t>Having regard to the initiative of the European Parliament,</w:t>
      </w:r>
    </w:p>
    <w:p w14:paraId="0523C972" w14:textId="77777777" w:rsidR="00ED56B7" w:rsidRPr="009005FB" w:rsidRDefault="00ED56B7" w:rsidP="00ED56B7"/>
    <w:p w14:paraId="48F3DB60" w14:textId="77777777" w:rsidR="00ED56B7" w:rsidRPr="009005FB" w:rsidRDefault="00ED56B7" w:rsidP="00ED56B7">
      <w:r w:rsidRPr="009005FB">
        <w:t>Having regard to the consent of the European Parliament,</w:t>
      </w:r>
    </w:p>
    <w:p w14:paraId="4E33DE39" w14:textId="77777777" w:rsidR="00ED56B7" w:rsidRPr="009005FB" w:rsidRDefault="00ED56B7" w:rsidP="00ED56B7"/>
    <w:p w14:paraId="36E0FD36" w14:textId="77777777" w:rsidR="00ED56B7" w:rsidRPr="009005FB" w:rsidRDefault="00ED56B7" w:rsidP="00ED56B7">
      <w:r w:rsidRPr="009005FB">
        <w:t>Whereas:</w:t>
      </w:r>
    </w:p>
    <w:p w14:paraId="705EC58C" w14:textId="77777777" w:rsidR="00ED56B7" w:rsidRPr="009005FB" w:rsidRDefault="00ED56B7" w:rsidP="00ED56B7"/>
    <w:p w14:paraId="7ECD9041" w14:textId="77777777" w:rsidR="00ED56B7" w:rsidRPr="009005FB" w:rsidRDefault="00ED56B7" w:rsidP="00ED56B7">
      <w:pPr>
        <w:ind w:left="360" w:hanging="360"/>
        <w:jc w:val="both"/>
      </w:pPr>
      <w:r w:rsidRPr="009005FB">
        <w:t>(1) The first subparagraph of Article 14(2) of the Treaty on European Union lays down the criteria for the composition of Parliament, namely representatives of the Union's citizens not exceeding seven hundred and fifty in number, plus the President, that representation being degressively proportional, with a minimum threshold of six members per Member State and no Member State being allocated more than ninety-six seats,</w:t>
      </w:r>
    </w:p>
    <w:p w14:paraId="2F240C52" w14:textId="77777777" w:rsidR="00ED56B7" w:rsidRPr="009005FB" w:rsidRDefault="00ED56B7" w:rsidP="00ED56B7">
      <w:pPr>
        <w:ind w:left="360" w:hanging="360"/>
        <w:jc w:val="both"/>
        <w:rPr>
          <w:i/>
        </w:rPr>
      </w:pPr>
    </w:p>
    <w:p w14:paraId="14F95F43" w14:textId="77777777" w:rsidR="00ED56B7" w:rsidRPr="009005FB" w:rsidRDefault="00ED56B7" w:rsidP="00ED56B7">
      <w:pPr>
        <w:ind w:left="360" w:hanging="360"/>
        <w:jc w:val="both"/>
      </w:pPr>
      <w:r w:rsidRPr="009005FB">
        <w:t>(2)</w:t>
      </w:r>
      <w:r w:rsidRPr="009005FB">
        <w:tab/>
        <w:t>Article 10 of the Treaty on European Union provides, inter alia, that the functioning of the Union shall be founded on representative democracy with citizens being directly represented at Union level in the European Parliament and Member States being represented by their governments, themselves being democratically accountable to their national Parliaments or citizens, in the Council. Article 14(2) of the Treaty on European Union on the composition of the European Parliament therefore applies within the context of the wider institutional arrangements set out in the Treaties, which also include the provisions on decision making in the Council,</w:t>
      </w:r>
    </w:p>
    <w:p w14:paraId="3DC84D08" w14:textId="77777777" w:rsidR="00ED56B7" w:rsidRPr="009005FB" w:rsidRDefault="00ED56B7" w:rsidP="00ED56B7">
      <w:pPr>
        <w:jc w:val="both"/>
      </w:pPr>
    </w:p>
    <w:p w14:paraId="483FEE84" w14:textId="77777777" w:rsidR="00ED56B7" w:rsidRPr="009005FB" w:rsidRDefault="00ED56B7" w:rsidP="00ED56B7">
      <w:pPr>
        <w:ind w:left="360" w:hanging="360"/>
        <w:jc w:val="both"/>
      </w:pPr>
    </w:p>
    <w:p w14:paraId="57AE2A26" w14:textId="3A964C66" w:rsidR="00ED56B7" w:rsidRPr="009005FB" w:rsidRDefault="00ED56B7" w:rsidP="00ED56B7">
      <w:pPr>
        <w:ind w:left="360" w:hanging="360"/>
        <w:jc w:val="both"/>
      </w:pPr>
      <w:r w:rsidRPr="009005FB">
        <w:t xml:space="preserve">(3) </w:t>
      </w:r>
      <w:r w:rsidR="001149AD" w:rsidRPr="009005FB">
        <w:t>From</w:t>
      </w:r>
      <w:r w:rsidRPr="009005FB">
        <w:t xml:space="preserve"> the European elections </w:t>
      </w:r>
      <w:r w:rsidR="00C978E3" w:rsidRPr="009005FB">
        <w:t xml:space="preserve">after </w:t>
      </w:r>
      <w:r w:rsidRPr="009005FB">
        <w:t>the adoption of the legal basis for transnational lists, a number of representatives in the European Parliament should be elected in a joint constituency comprising the entire territory of the Union;</w:t>
      </w:r>
    </w:p>
    <w:p w14:paraId="4F93D8BC" w14:textId="77777777" w:rsidR="00ED56B7" w:rsidRPr="009005FB" w:rsidRDefault="00ED56B7" w:rsidP="00ED56B7">
      <w:pPr>
        <w:ind w:left="360" w:hanging="360"/>
        <w:jc w:val="both"/>
      </w:pPr>
    </w:p>
    <w:p w14:paraId="75EE7178" w14:textId="77777777" w:rsidR="00ED56B7" w:rsidRPr="009005FB" w:rsidRDefault="00ED56B7" w:rsidP="00ED56B7">
      <w:pPr>
        <w:ind w:left="360" w:hanging="360"/>
        <w:rPr>
          <w:i/>
        </w:rPr>
      </w:pPr>
    </w:p>
    <w:p w14:paraId="57840C3E" w14:textId="77777777" w:rsidR="00ED56B7" w:rsidRPr="009005FB" w:rsidRDefault="00ED56B7" w:rsidP="00ED56B7"/>
    <w:p w14:paraId="7FD685E7" w14:textId="77777777" w:rsidR="00ED56B7" w:rsidRPr="009005FB" w:rsidRDefault="00ED56B7" w:rsidP="00ED56B7">
      <w:r w:rsidRPr="009005FB">
        <w:t>HAS ADOPTED THIS DECISION:</w:t>
      </w:r>
    </w:p>
    <w:p w14:paraId="63DBF7E3" w14:textId="77777777" w:rsidR="00ED56B7" w:rsidRPr="009005FB" w:rsidRDefault="00ED56B7" w:rsidP="00ED56B7"/>
    <w:p w14:paraId="08C19ACE" w14:textId="77777777" w:rsidR="00ED56B7" w:rsidRPr="009005FB" w:rsidRDefault="00ED56B7" w:rsidP="00ED56B7">
      <w:pPr>
        <w:jc w:val="center"/>
        <w:rPr>
          <w:i/>
        </w:rPr>
      </w:pPr>
      <w:r w:rsidRPr="009005FB">
        <w:rPr>
          <w:i/>
        </w:rPr>
        <w:t>Article 1</w:t>
      </w:r>
    </w:p>
    <w:p w14:paraId="065C946D" w14:textId="77777777" w:rsidR="00ED56B7" w:rsidRPr="009005FB" w:rsidRDefault="00ED56B7" w:rsidP="00ED56B7">
      <w:pPr>
        <w:jc w:val="center"/>
        <w:rPr>
          <w:i/>
        </w:rPr>
      </w:pPr>
    </w:p>
    <w:p w14:paraId="28B6C6EE" w14:textId="77777777" w:rsidR="00ED56B7" w:rsidRPr="009005FB" w:rsidRDefault="00ED56B7" w:rsidP="00ED56B7">
      <w:pPr>
        <w:jc w:val="both"/>
      </w:pPr>
      <w:r w:rsidRPr="009005FB">
        <w:t xml:space="preserve">In the application of the </w:t>
      </w:r>
      <w:r w:rsidRPr="009005FB">
        <w:rPr>
          <w:color w:val="000000"/>
        </w:rPr>
        <w:t>provisions</w:t>
      </w:r>
      <w:r w:rsidRPr="009005FB">
        <w:t xml:space="preserve"> of Article 14(2) of the Treaty on European Union, the following principles shall be respected:</w:t>
      </w:r>
    </w:p>
    <w:p w14:paraId="06FA6E2F" w14:textId="77777777" w:rsidR="00ED56B7" w:rsidRPr="009005FB" w:rsidRDefault="00ED56B7" w:rsidP="00ED56B7">
      <w:pPr>
        <w:jc w:val="both"/>
      </w:pPr>
    </w:p>
    <w:p w14:paraId="5061ACC2" w14:textId="77777777" w:rsidR="00ED56B7" w:rsidRPr="009005FB" w:rsidRDefault="00ED56B7" w:rsidP="00ED56B7">
      <w:pPr>
        <w:tabs>
          <w:tab w:val="left" w:pos="426"/>
        </w:tabs>
        <w:ind w:left="426" w:hanging="426"/>
        <w:jc w:val="both"/>
      </w:pPr>
      <w:r w:rsidRPr="009005FB">
        <w:t xml:space="preserve">— the allocation of seats in the European Parliament shall fully utilise the minimum and maximum thresholds per Member State set by the Treaty on European Union in order to </w:t>
      </w:r>
      <w:r w:rsidRPr="009005FB">
        <w:lastRenderedPageBreak/>
        <w:t>reflect as closely as possible the sizes of the respective populations,</w:t>
      </w:r>
    </w:p>
    <w:p w14:paraId="4E2D6458" w14:textId="77777777" w:rsidR="00ED56B7" w:rsidRPr="009005FB" w:rsidRDefault="00ED56B7" w:rsidP="00ED56B7">
      <w:pPr>
        <w:tabs>
          <w:tab w:val="left" w:pos="426"/>
        </w:tabs>
      </w:pPr>
    </w:p>
    <w:p w14:paraId="3E6F63F4" w14:textId="77777777" w:rsidR="00ED56B7" w:rsidRPr="009005FB" w:rsidRDefault="00ED56B7" w:rsidP="00ED56B7">
      <w:pPr>
        <w:tabs>
          <w:tab w:val="left" w:pos="426"/>
        </w:tabs>
        <w:ind w:left="426" w:hanging="426"/>
        <w:jc w:val="both"/>
      </w:pPr>
      <w:r w:rsidRPr="009005FB">
        <w:t>–</w:t>
      </w:r>
      <w:r w:rsidRPr="009005FB">
        <w:tab/>
        <w:t xml:space="preserve">degressive proportionality </w:t>
      </w:r>
      <w:r w:rsidRPr="009005FB">
        <w:rPr>
          <w:color w:val="000000"/>
        </w:rPr>
        <w:t>shall be defined</w:t>
      </w:r>
      <w:r w:rsidRPr="009005FB">
        <w:t xml:space="preserve"> as follows: the ratio between the population and the number of seats of each Member State before rounding to whole numbers shall vary in relation to their respective populations in such a way that each Member of the European Parliament from a more populous Member State represents more citizens than each Member from a less populous Member State and, conversely, that the larger the population of a Member State, the greater its entitlement to a large number of seats.</w:t>
      </w:r>
    </w:p>
    <w:p w14:paraId="525A5544" w14:textId="77777777" w:rsidR="00ED56B7" w:rsidRPr="009005FB" w:rsidRDefault="00ED56B7" w:rsidP="00ED56B7">
      <w:pPr>
        <w:tabs>
          <w:tab w:val="left" w:pos="426"/>
        </w:tabs>
        <w:ind w:left="426" w:hanging="426"/>
        <w:jc w:val="center"/>
        <w:rPr>
          <w:i/>
        </w:rPr>
      </w:pPr>
    </w:p>
    <w:p w14:paraId="6E85F26F" w14:textId="77777777" w:rsidR="00ED56B7" w:rsidRPr="009005FB" w:rsidRDefault="00ED56B7" w:rsidP="00ED56B7">
      <w:pPr>
        <w:tabs>
          <w:tab w:val="left" w:pos="426"/>
        </w:tabs>
        <w:ind w:left="426" w:hanging="426"/>
        <w:jc w:val="center"/>
        <w:rPr>
          <w:i/>
        </w:rPr>
      </w:pPr>
      <w:r w:rsidRPr="009005FB">
        <w:rPr>
          <w:i/>
        </w:rPr>
        <w:t>Article 2</w:t>
      </w:r>
    </w:p>
    <w:p w14:paraId="23B27946" w14:textId="77777777" w:rsidR="00ED56B7" w:rsidRPr="009005FB" w:rsidRDefault="00ED56B7" w:rsidP="00ED56B7">
      <w:pPr>
        <w:tabs>
          <w:tab w:val="left" w:pos="426"/>
        </w:tabs>
        <w:ind w:left="426" w:hanging="426"/>
        <w:jc w:val="center"/>
        <w:rPr>
          <w:i/>
        </w:rPr>
      </w:pPr>
    </w:p>
    <w:p w14:paraId="10E32A1B" w14:textId="32FDAE30" w:rsidR="00ED56B7" w:rsidRPr="009005FB" w:rsidRDefault="00ED56B7" w:rsidP="00ED56B7">
      <w:pPr>
        <w:tabs>
          <w:tab w:val="left" w:pos="0"/>
        </w:tabs>
        <w:ind w:hanging="426"/>
        <w:jc w:val="both"/>
      </w:pPr>
      <w:r w:rsidRPr="009005FB">
        <w:tab/>
        <w:t>The total population of the Member States is calculated by the Commission (Eurostat) on the basis of data provided by the Member States, in accordance with a method established by means of</w:t>
      </w:r>
      <w:r w:rsidR="00703E48" w:rsidRPr="009005FB">
        <w:t xml:space="preserve"> R</w:t>
      </w:r>
      <w:r w:rsidRPr="009005FB">
        <w:t xml:space="preserve">egulation </w:t>
      </w:r>
      <w:r w:rsidR="00703E48" w:rsidRPr="009005FB">
        <w:t xml:space="preserve">(EU) No 1260/2013 </w:t>
      </w:r>
      <w:r w:rsidRPr="009005FB">
        <w:t>of the European Parliament and of the Council</w:t>
      </w:r>
      <w:r w:rsidRPr="009005FB">
        <w:rPr>
          <w:rStyle w:val="FootnoteReference"/>
        </w:rPr>
        <w:footnoteReference w:id="3"/>
      </w:r>
      <w:r w:rsidRPr="009005FB">
        <w:t>.</w:t>
      </w:r>
    </w:p>
    <w:p w14:paraId="75D2FFB5" w14:textId="77777777" w:rsidR="00ED56B7" w:rsidRPr="009005FB" w:rsidRDefault="00ED56B7" w:rsidP="00ED56B7">
      <w:pPr>
        <w:tabs>
          <w:tab w:val="left" w:pos="0"/>
        </w:tabs>
        <w:ind w:hanging="426"/>
      </w:pPr>
    </w:p>
    <w:p w14:paraId="3AA8C1E8" w14:textId="77777777" w:rsidR="00ED56B7" w:rsidRPr="009005FB" w:rsidRDefault="00ED56B7" w:rsidP="00ED56B7">
      <w:pPr>
        <w:jc w:val="center"/>
        <w:rPr>
          <w:i/>
        </w:rPr>
      </w:pPr>
    </w:p>
    <w:p w14:paraId="7723C48F" w14:textId="77777777" w:rsidR="00ED56B7" w:rsidRPr="009005FB" w:rsidRDefault="00ED56B7" w:rsidP="00ED56B7">
      <w:pPr>
        <w:jc w:val="center"/>
        <w:rPr>
          <w:i/>
        </w:rPr>
      </w:pPr>
      <w:r w:rsidRPr="009005FB">
        <w:rPr>
          <w:i/>
        </w:rPr>
        <w:t>Article 3</w:t>
      </w:r>
    </w:p>
    <w:p w14:paraId="323895A4" w14:textId="77777777" w:rsidR="00ED56B7" w:rsidRPr="009005FB" w:rsidRDefault="00ED56B7" w:rsidP="00ED56B7"/>
    <w:p w14:paraId="3FD17970" w14:textId="0B83420F" w:rsidR="00ED56B7" w:rsidRPr="009005FB" w:rsidRDefault="00ED56B7" w:rsidP="00ED56B7">
      <w:pPr>
        <w:jc w:val="both"/>
      </w:pPr>
      <w:r w:rsidRPr="009005FB">
        <w:t>1. The number of representatives in the European Parliament elected in each Member State for the 2019 - 2024 parliamentary term shall be the one provided for in Article 3 of the European Council Decision</w:t>
      </w:r>
      <w:r w:rsidR="00703E48" w:rsidRPr="009005FB">
        <w:t xml:space="preserve"> 2013/312/EU</w:t>
      </w:r>
      <w:r w:rsidRPr="009005FB">
        <w:t xml:space="preserve"> of 28 June 2013</w:t>
      </w:r>
      <w:r w:rsidRPr="009005FB">
        <w:rPr>
          <w:rStyle w:val="FootnoteReference"/>
        </w:rPr>
        <w:footnoteReference w:id="4"/>
      </w:r>
      <w:r w:rsidRPr="009005FB">
        <w:t>.</w:t>
      </w:r>
    </w:p>
    <w:p w14:paraId="622C94C1" w14:textId="77777777" w:rsidR="00ED56B7" w:rsidRPr="009005FB" w:rsidRDefault="00ED56B7" w:rsidP="00ED56B7">
      <w:pPr>
        <w:jc w:val="both"/>
      </w:pPr>
    </w:p>
    <w:p w14:paraId="63538C7F" w14:textId="3076459A" w:rsidR="00ED56B7" w:rsidRPr="009005FB" w:rsidRDefault="00ED56B7" w:rsidP="007324F6">
      <w:pPr>
        <w:jc w:val="both"/>
      </w:pPr>
      <w:r w:rsidRPr="009005FB">
        <w:t>However, once the United Kingdom’s withdrawal from the Union becomes legally effective, the number of representatives in the European Parliament elected in each Member State, for the 2019 - 2024 parliamentary term, shall be set as follows:</w:t>
      </w:r>
    </w:p>
    <w:tbl>
      <w:tblPr>
        <w:tblW w:w="0" w:type="auto"/>
        <w:tblLook w:val="01E0" w:firstRow="1" w:lastRow="1" w:firstColumn="1" w:lastColumn="1" w:noHBand="0" w:noVBand="0"/>
      </w:tblPr>
      <w:tblGrid>
        <w:gridCol w:w="4261"/>
        <w:gridCol w:w="4261"/>
      </w:tblGrid>
      <w:tr w:rsidR="00ED56B7" w:rsidRPr="009005FB" w14:paraId="1ED43443" w14:textId="77777777" w:rsidTr="001149AD">
        <w:tc>
          <w:tcPr>
            <w:tcW w:w="4261" w:type="dxa"/>
            <w:shd w:val="clear" w:color="auto" w:fill="auto"/>
          </w:tcPr>
          <w:p w14:paraId="1741E2EB" w14:textId="77777777" w:rsidR="00ED56B7" w:rsidRPr="009005FB" w:rsidRDefault="00ED56B7" w:rsidP="001149AD">
            <w:r w:rsidRPr="009005FB">
              <w:t>Belgium</w:t>
            </w:r>
          </w:p>
        </w:tc>
        <w:tc>
          <w:tcPr>
            <w:tcW w:w="4261" w:type="dxa"/>
            <w:shd w:val="clear" w:color="auto" w:fill="auto"/>
          </w:tcPr>
          <w:p w14:paraId="55AB11BC" w14:textId="77777777" w:rsidR="00ED56B7" w:rsidRPr="009005FB" w:rsidRDefault="00ED56B7" w:rsidP="001149AD">
            <w:r w:rsidRPr="009005FB">
              <w:t>21</w:t>
            </w:r>
          </w:p>
        </w:tc>
      </w:tr>
      <w:tr w:rsidR="00ED56B7" w:rsidRPr="009005FB" w14:paraId="33974654" w14:textId="77777777" w:rsidTr="001149AD">
        <w:tc>
          <w:tcPr>
            <w:tcW w:w="4261" w:type="dxa"/>
            <w:shd w:val="clear" w:color="auto" w:fill="auto"/>
          </w:tcPr>
          <w:p w14:paraId="4DE5B572" w14:textId="77777777" w:rsidR="00ED56B7" w:rsidRPr="009005FB" w:rsidRDefault="00ED56B7" w:rsidP="001149AD">
            <w:r w:rsidRPr="009005FB">
              <w:t>Bulgaria</w:t>
            </w:r>
          </w:p>
        </w:tc>
        <w:tc>
          <w:tcPr>
            <w:tcW w:w="4261" w:type="dxa"/>
            <w:shd w:val="clear" w:color="auto" w:fill="auto"/>
          </w:tcPr>
          <w:p w14:paraId="006EBEB8" w14:textId="77777777" w:rsidR="00ED56B7" w:rsidRPr="009005FB" w:rsidRDefault="00ED56B7" w:rsidP="001149AD">
            <w:r w:rsidRPr="009005FB">
              <w:t>17</w:t>
            </w:r>
          </w:p>
        </w:tc>
      </w:tr>
      <w:tr w:rsidR="00ED56B7" w:rsidRPr="009005FB" w14:paraId="4537F52B" w14:textId="77777777" w:rsidTr="001149AD">
        <w:tc>
          <w:tcPr>
            <w:tcW w:w="4261" w:type="dxa"/>
            <w:shd w:val="clear" w:color="auto" w:fill="auto"/>
          </w:tcPr>
          <w:p w14:paraId="4D71C1CF" w14:textId="77777777" w:rsidR="00ED56B7" w:rsidRPr="009005FB" w:rsidRDefault="00ED56B7" w:rsidP="001149AD">
            <w:r w:rsidRPr="009005FB">
              <w:t>Czech Republic</w:t>
            </w:r>
          </w:p>
        </w:tc>
        <w:tc>
          <w:tcPr>
            <w:tcW w:w="4261" w:type="dxa"/>
            <w:shd w:val="clear" w:color="auto" w:fill="auto"/>
          </w:tcPr>
          <w:p w14:paraId="2024F782" w14:textId="77777777" w:rsidR="00ED56B7" w:rsidRPr="009005FB" w:rsidRDefault="00ED56B7" w:rsidP="001149AD">
            <w:r w:rsidRPr="009005FB">
              <w:t>21</w:t>
            </w:r>
          </w:p>
        </w:tc>
      </w:tr>
      <w:tr w:rsidR="00ED56B7" w:rsidRPr="009005FB" w14:paraId="66D15B23" w14:textId="77777777" w:rsidTr="001149AD">
        <w:tc>
          <w:tcPr>
            <w:tcW w:w="4261" w:type="dxa"/>
            <w:shd w:val="clear" w:color="auto" w:fill="auto"/>
          </w:tcPr>
          <w:p w14:paraId="0EC53C47" w14:textId="77777777" w:rsidR="00ED56B7" w:rsidRPr="009005FB" w:rsidRDefault="00ED56B7" w:rsidP="001149AD">
            <w:r w:rsidRPr="009005FB">
              <w:t>Denmark</w:t>
            </w:r>
          </w:p>
        </w:tc>
        <w:tc>
          <w:tcPr>
            <w:tcW w:w="4261" w:type="dxa"/>
            <w:shd w:val="clear" w:color="auto" w:fill="auto"/>
          </w:tcPr>
          <w:p w14:paraId="3FA63879" w14:textId="77777777" w:rsidR="00ED56B7" w:rsidRPr="009005FB" w:rsidRDefault="00ED56B7" w:rsidP="001149AD">
            <w:r w:rsidRPr="009005FB">
              <w:t>14</w:t>
            </w:r>
          </w:p>
        </w:tc>
      </w:tr>
      <w:tr w:rsidR="00ED56B7" w:rsidRPr="009005FB" w14:paraId="4615F275" w14:textId="77777777" w:rsidTr="001149AD">
        <w:tc>
          <w:tcPr>
            <w:tcW w:w="4261" w:type="dxa"/>
            <w:shd w:val="clear" w:color="auto" w:fill="auto"/>
          </w:tcPr>
          <w:p w14:paraId="08A23E1C" w14:textId="77777777" w:rsidR="00ED56B7" w:rsidRPr="009005FB" w:rsidRDefault="00ED56B7" w:rsidP="001149AD">
            <w:r w:rsidRPr="009005FB">
              <w:t>Germany</w:t>
            </w:r>
          </w:p>
        </w:tc>
        <w:tc>
          <w:tcPr>
            <w:tcW w:w="4261" w:type="dxa"/>
            <w:shd w:val="clear" w:color="auto" w:fill="auto"/>
          </w:tcPr>
          <w:p w14:paraId="53357D54" w14:textId="77777777" w:rsidR="00ED56B7" w:rsidRPr="009005FB" w:rsidRDefault="00ED56B7" w:rsidP="001149AD">
            <w:r w:rsidRPr="009005FB">
              <w:t>96</w:t>
            </w:r>
          </w:p>
        </w:tc>
      </w:tr>
      <w:tr w:rsidR="00ED56B7" w:rsidRPr="009005FB" w14:paraId="0147864F" w14:textId="77777777" w:rsidTr="001149AD">
        <w:tc>
          <w:tcPr>
            <w:tcW w:w="4261" w:type="dxa"/>
            <w:shd w:val="clear" w:color="auto" w:fill="auto"/>
          </w:tcPr>
          <w:p w14:paraId="53033E68" w14:textId="77777777" w:rsidR="00ED56B7" w:rsidRPr="009005FB" w:rsidRDefault="00ED56B7" w:rsidP="001149AD">
            <w:r w:rsidRPr="009005FB">
              <w:t>Estonia</w:t>
            </w:r>
          </w:p>
        </w:tc>
        <w:tc>
          <w:tcPr>
            <w:tcW w:w="4261" w:type="dxa"/>
            <w:shd w:val="clear" w:color="auto" w:fill="auto"/>
          </w:tcPr>
          <w:p w14:paraId="3E7DF5B2" w14:textId="77777777" w:rsidR="00ED56B7" w:rsidRPr="009005FB" w:rsidRDefault="00ED56B7" w:rsidP="001149AD">
            <w:r w:rsidRPr="009005FB">
              <w:t xml:space="preserve">  7</w:t>
            </w:r>
          </w:p>
        </w:tc>
      </w:tr>
      <w:tr w:rsidR="00ED56B7" w:rsidRPr="009005FB" w14:paraId="44FDB160" w14:textId="77777777" w:rsidTr="001149AD">
        <w:tc>
          <w:tcPr>
            <w:tcW w:w="4261" w:type="dxa"/>
            <w:shd w:val="clear" w:color="auto" w:fill="auto"/>
          </w:tcPr>
          <w:p w14:paraId="2FF8339B" w14:textId="77777777" w:rsidR="00ED56B7" w:rsidRPr="009005FB" w:rsidRDefault="00ED56B7" w:rsidP="001149AD">
            <w:r w:rsidRPr="009005FB">
              <w:t>Ireland</w:t>
            </w:r>
          </w:p>
        </w:tc>
        <w:tc>
          <w:tcPr>
            <w:tcW w:w="4261" w:type="dxa"/>
            <w:shd w:val="clear" w:color="auto" w:fill="auto"/>
          </w:tcPr>
          <w:p w14:paraId="5FE08FE8" w14:textId="77777777" w:rsidR="00ED56B7" w:rsidRPr="009005FB" w:rsidRDefault="00ED56B7" w:rsidP="001149AD">
            <w:r w:rsidRPr="009005FB">
              <w:t>13</w:t>
            </w:r>
          </w:p>
        </w:tc>
      </w:tr>
      <w:tr w:rsidR="00ED56B7" w:rsidRPr="009005FB" w14:paraId="6DBFF38C" w14:textId="77777777" w:rsidTr="001149AD">
        <w:tc>
          <w:tcPr>
            <w:tcW w:w="4261" w:type="dxa"/>
            <w:shd w:val="clear" w:color="auto" w:fill="auto"/>
          </w:tcPr>
          <w:p w14:paraId="538A9C38" w14:textId="77777777" w:rsidR="00ED56B7" w:rsidRPr="009005FB" w:rsidRDefault="00ED56B7" w:rsidP="001149AD">
            <w:r w:rsidRPr="009005FB">
              <w:t>Greece</w:t>
            </w:r>
          </w:p>
        </w:tc>
        <w:tc>
          <w:tcPr>
            <w:tcW w:w="4261" w:type="dxa"/>
            <w:shd w:val="clear" w:color="auto" w:fill="auto"/>
          </w:tcPr>
          <w:p w14:paraId="07980336" w14:textId="77777777" w:rsidR="00ED56B7" w:rsidRPr="009005FB" w:rsidRDefault="00ED56B7" w:rsidP="001149AD">
            <w:r w:rsidRPr="009005FB">
              <w:t>21</w:t>
            </w:r>
          </w:p>
        </w:tc>
      </w:tr>
      <w:tr w:rsidR="00ED56B7" w:rsidRPr="009005FB" w14:paraId="5DCF4542" w14:textId="77777777" w:rsidTr="001149AD">
        <w:tc>
          <w:tcPr>
            <w:tcW w:w="4261" w:type="dxa"/>
            <w:shd w:val="clear" w:color="auto" w:fill="auto"/>
          </w:tcPr>
          <w:p w14:paraId="77EF4641" w14:textId="77777777" w:rsidR="00ED56B7" w:rsidRPr="009005FB" w:rsidRDefault="00ED56B7" w:rsidP="001149AD">
            <w:r w:rsidRPr="009005FB">
              <w:t>Spain</w:t>
            </w:r>
          </w:p>
        </w:tc>
        <w:tc>
          <w:tcPr>
            <w:tcW w:w="4261" w:type="dxa"/>
            <w:shd w:val="clear" w:color="auto" w:fill="auto"/>
          </w:tcPr>
          <w:p w14:paraId="31672A51" w14:textId="77777777" w:rsidR="00ED56B7" w:rsidRPr="009005FB" w:rsidRDefault="00ED56B7" w:rsidP="001149AD">
            <w:r w:rsidRPr="009005FB">
              <w:t>58</w:t>
            </w:r>
          </w:p>
        </w:tc>
      </w:tr>
      <w:tr w:rsidR="00ED56B7" w:rsidRPr="009005FB" w14:paraId="718BA839" w14:textId="77777777" w:rsidTr="001149AD">
        <w:tc>
          <w:tcPr>
            <w:tcW w:w="4261" w:type="dxa"/>
            <w:shd w:val="clear" w:color="auto" w:fill="auto"/>
          </w:tcPr>
          <w:p w14:paraId="73A0DB07" w14:textId="77777777" w:rsidR="00ED56B7" w:rsidRPr="009005FB" w:rsidRDefault="00ED56B7" w:rsidP="001149AD">
            <w:r w:rsidRPr="009005FB">
              <w:t>France</w:t>
            </w:r>
          </w:p>
        </w:tc>
        <w:tc>
          <w:tcPr>
            <w:tcW w:w="4261" w:type="dxa"/>
            <w:shd w:val="clear" w:color="auto" w:fill="auto"/>
          </w:tcPr>
          <w:p w14:paraId="7CFF8484" w14:textId="77777777" w:rsidR="00ED56B7" w:rsidRPr="009005FB" w:rsidRDefault="00ED56B7" w:rsidP="001149AD">
            <w:r w:rsidRPr="009005FB">
              <w:t>78</w:t>
            </w:r>
          </w:p>
        </w:tc>
      </w:tr>
      <w:tr w:rsidR="00ED56B7" w:rsidRPr="009005FB" w14:paraId="2EDD1C35" w14:textId="77777777" w:rsidTr="001149AD">
        <w:tc>
          <w:tcPr>
            <w:tcW w:w="4261" w:type="dxa"/>
            <w:shd w:val="clear" w:color="auto" w:fill="auto"/>
          </w:tcPr>
          <w:p w14:paraId="15C17EAE" w14:textId="77777777" w:rsidR="00ED56B7" w:rsidRPr="009005FB" w:rsidRDefault="00ED56B7" w:rsidP="001149AD">
            <w:r w:rsidRPr="009005FB">
              <w:t>Croatia</w:t>
            </w:r>
          </w:p>
        </w:tc>
        <w:tc>
          <w:tcPr>
            <w:tcW w:w="4261" w:type="dxa"/>
            <w:shd w:val="clear" w:color="auto" w:fill="auto"/>
          </w:tcPr>
          <w:p w14:paraId="3B25A94F" w14:textId="77777777" w:rsidR="00ED56B7" w:rsidRPr="009005FB" w:rsidRDefault="00ED56B7" w:rsidP="001149AD">
            <w:r w:rsidRPr="009005FB">
              <w:t>12</w:t>
            </w:r>
          </w:p>
        </w:tc>
      </w:tr>
      <w:tr w:rsidR="00ED56B7" w:rsidRPr="009005FB" w14:paraId="5798597E" w14:textId="77777777" w:rsidTr="001149AD">
        <w:tc>
          <w:tcPr>
            <w:tcW w:w="4261" w:type="dxa"/>
            <w:shd w:val="clear" w:color="auto" w:fill="auto"/>
          </w:tcPr>
          <w:p w14:paraId="738FF54B" w14:textId="77777777" w:rsidR="00ED56B7" w:rsidRPr="009005FB" w:rsidRDefault="00ED56B7" w:rsidP="001149AD">
            <w:r w:rsidRPr="009005FB">
              <w:t>Italy</w:t>
            </w:r>
          </w:p>
        </w:tc>
        <w:tc>
          <w:tcPr>
            <w:tcW w:w="4261" w:type="dxa"/>
            <w:shd w:val="clear" w:color="auto" w:fill="auto"/>
          </w:tcPr>
          <w:p w14:paraId="74C2287E" w14:textId="77777777" w:rsidR="00ED56B7" w:rsidRPr="009005FB" w:rsidRDefault="00ED56B7" w:rsidP="001149AD">
            <w:r w:rsidRPr="009005FB">
              <w:t>76</w:t>
            </w:r>
          </w:p>
        </w:tc>
      </w:tr>
      <w:tr w:rsidR="00ED56B7" w:rsidRPr="009005FB" w14:paraId="48B21AC4" w14:textId="77777777" w:rsidTr="001149AD">
        <w:tc>
          <w:tcPr>
            <w:tcW w:w="4261" w:type="dxa"/>
            <w:shd w:val="clear" w:color="auto" w:fill="auto"/>
          </w:tcPr>
          <w:p w14:paraId="0AAE0A06" w14:textId="77777777" w:rsidR="00ED56B7" w:rsidRPr="009005FB" w:rsidRDefault="00ED56B7" w:rsidP="001149AD">
            <w:r w:rsidRPr="009005FB">
              <w:t>Cyprus</w:t>
            </w:r>
          </w:p>
        </w:tc>
        <w:tc>
          <w:tcPr>
            <w:tcW w:w="4261" w:type="dxa"/>
            <w:shd w:val="clear" w:color="auto" w:fill="auto"/>
          </w:tcPr>
          <w:p w14:paraId="51C33416" w14:textId="77777777" w:rsidR="00ED56B7" w:rsidRPr="009005FB" w:rsidRDefault="00ED56B7" w:rsidP="001149AD">
            <w:r w:rsidRPr="009005FB">
              <w:t xml:space="preserve">  6</w:t>
            </w:r>
          </w:p>
        </w:tc>
      </w:tr>
      <w:tr w:rsidR="00ED56B7" w:rsidRPr="009005FB" w14:paraId="5943A2A9" w14:textId="77777777" w:rsidTr="001149AD">
        <w:tc>
          <w:tcPr>
            <w:tcW w:w="4261" w:type="dxa"/>
            <w:shd w:val="clear" w:color="auto" w:fill="auto"/>
          </w:tcPr>
          <w:p w14:paraId="73B9A4D2" w14:textId="77777777" w:rsidR="00ED56B7" w:rsidRPr="009005FB" w:rsidRDefault="00ED56B7" w:rsidP="001149AD">
            <w:r w:rsidRPr="009005FB">
              <w:t>Latvia</w:t>
            </w:r>
          </w:p>
        </w:tc>
        <w:tc>
          <w:tcPr>
            <w:tcW w:w="4261" w:type="dxa"/>
            <w:shd w:val="clear" w:color="auto" w:fill="auto"/>
          </w:tcPr>
          <w:p w14:paraId="33F50167" w14:textId="77777777" w:rsidR="00ED56B7" w:rsidRPr="009005FB" w:rsidRDefault="00ED56B7" w:rsidP="001149AD">
            <w:r w:rsidRPr="009005FB">
              <w:t xml:space="preserve">  8</w:t>
            </w:r>
          </w:p>
        </w:tc>
      </w:tr>
      <w:tr w:rsidR="00ED56B7" w:rsidRPr="009005FB" w14:paraId="707A0127" w14:textId="77777777" w:rsidTr="001149AD">
        <w:tc>
          <w:tcPr>
            <w:tcW w:w="4261" w:type="dxa"/>
            <w:shd w:val="clear" w:color="auto" w:fill="auto"/>
          </w:tcPr>
          <w:p w14:paraId="12C409DC" w14:textId="77777777" w:rsidR="00ED56B7" w:rsidRPr="009005FB" w:rsidRDefault="00ED56B7" w:rsidP="001149AD">
            <w:r w:rsidRPr="009005FB">
              <w:t>Lithuania</w:t>
            </w:r>
          </w:p>
        </w:tc>
        <w:tc>
          <w:tcPr>
            <w:tcW w:w="4261" w:type="dxa"/>
            <w:shd w:val="clear" w:color="auto" w:fill="auto"/>
          </w:tcPr>
          <w:p w14:paraId="05BAF5F2" w14:textId="77777777" w:rsidR="00ED56B7" w:rsidRPr="009005FB" w:rsidRDefault="00ED56B7" w:rsidP="001149AD">
            <w:r w:rsidRPr="009005FB">
              <w:t>11</w:t>
            </w:r>
          </w:p>
        </w:tc>
      </w:tr>
      <w:tr w:rsidR="00ED56B7" w:rsidRPr="009005FB" w14:paraId="3EECBD26" w14:textId="77777777" w:rsidTr="001149AD">
        <w:tc>
          <w:tcPr>
            <w:tcW w:w="4261" w:type="dxa"/>
            <w:shd w:val="clear" w:color="auto" w:fill="auto"/>
          </w:tcPr>
          <w:p w14:paraId="138B36DF" w14:textId="77777777" w:rsidR="00ED56B7" w:rsidRPr="009005FB" w:rsidRDefault="00ED56B7" w:rsidP="001149AD">
            <w:r w:rsidRPr="009005FB">
              <w:t>Luxembourg</w:t>
            </w:r>
          </w:p>
        </w:tc>
        <w:tc>
          <w:tcPr>
            <w:tcW w:w="4261" w:type="dxa"/>
            <w:shd w:val="clear" w:color="auto" w:fill="auto"/>
          </w:tcPr>
          <w:p w14:paraId="5EC4CCAC" w14:textId="77777777" w:rsidR="00ED56B7" w:rsidRPr="009005FB" w:rsidRDefault="00ED56B7" w:rsidP="001149AD">
            <w:r w:rsidRPr="009005FB">
              <w:t xml:space="preserve">  6</w:t>
            </w:r>
          </w:p>
        </w:tc>
      </w:tr>
      <w:tr w:rsidR="00ED56B7" w:rsidRPr="009005FB" w14:paraId="449E3374" w14:textId="77777777" w:rsidTr="001149AD">
        <w:tc>
          <w:tcPr>
            <w:tcW w:w="4261" w:type="dxa"/>
            <w:shd w:val="clear" w:color="auto" w:fill="auto"/>
          </w:tcPr>
          <w:p w14:paraId="1B212C67" w14:textId="77777777" w:rsidR="00ED56B7" w:rsidRPr="009005FB" w:rsidRDefault="00ED56B7" w:rsidP="001149AD">
            <w:r w:rsidRPr="009005FB">
              <w:t>Hungary</w:t>
            </w:r>
          </w:p>
        </w:tc>
        <w:tc>
          <w:tcPr>
            <w:tcW w:w="4261" w:type="dxa"/>
            <w:shd w:val="clear" w:color="auto" w:fill="auto"/>
          </w:tcPr>
          <w:p w14:paraId="62B13DD6" w14:textId="77777777" w:rsidR="00ED56B7" w:rsidRPr="009005FB" w:rsidRDefault="00ED56B7" w:rsidP="001149AD">
            <w:r w:rsidRPr="009005FB">
              <w:t>21</w:t>
            </w:r>
          </w:p>
        </w:tc>
      </w:tr>
      <w:tr w:rsidR="00ED56B7" w:rsidRPr="009005FB" w14:paraId="6EF81E0C" w14:textId="77777777" w:rsidTr="001149AD">
        <w:tc>
          <w:tcPr>
            <w:tcW w:w="4261" w:type="dxa"/>
            <w:shd w:val="clear" w:color="auto" w:fill="auto"/>
          </w:tcPr>
          <w:p w14:paraId="0428B486" w14:textId="77777777" w:rsidR="00ED56B7" w:rsidRPr="009005FB" w:rsidRDefault="00ED56B7" w:rsidP="001149AD">
            <w:r w:rsidRPr="009005FB">
              <w:t>Malta</w:t>
            </w:r>
          </w:p>
        </w:tc>
        <w:tc>
          <w:tcPr>
            <w:tcW w:w="4261" w:type="dxa"/>
            <w:shd w:val="clear" w:color="auto" w:fill="auto"/>
          </w:tcPr>
          <w:p w14:paraId="28A221D1" w14:textId="77777777" w:rsidR="00ED56B7" w:rsidRPr="009005FB" w:rsidRDefault="00ED56B7" w:rsidP="001149AD">
            <w:r w:rsidRPr="009005FB">
              <w:t xml:space="preserve">  6</w:t>
            </w:r>
          </w:p>
        </w:tc>
      </w:tr>
      <w:tr w:rsidR="00ED56B7" w:rsidRPr="009005FB" w14:paraId="52CD3A4D" w14:textId="77777777" w:rsidTr="001149AD">
        <w:tc>
          <w:tcPr>
            <w:tcW w:w="4261" w:type="dxa"/>
            <w:shd w:val="clear" w:color="auto" w:fill="auto"/>
          </w:tcPr>
          <w:p w14:paraId="3FA5AB5E" w14:textId="77777777" w:rsidR="00ED56B7" w:rsidRPr="009005FB" w:rsidRDefault="00ED56B7" w:rsidP="001149AD">
            <w:r w:rsidRPr="009005FB">
              <w:t>Netherlands</w:t>
            </w:r>
          </w:p>
        </w:tc>
        <w:tc>
          <w:tcPr>
            <w:tcW w:w="4261" w:type="dxa"/>
            <w:shd w:val="clear" w:color="auto" w:fill="auto"/>
          </w:tcPr>
          <w:p w14:paraId="51AC1C79" w14:textId="77777777" w:rsidR="00ED56B7" w:rsidRPr="009005FB" w:rsidRDefault="00ED56B7" w:rsidP="001149AD">
            <w:r w:rsidRPr="009005FB">
              <w:t>28</w:t>
            </w:r>
          </w:p>
        </w:tc>
      </w:tr>
      <w:tr w:rsidR="00ED56B7" w:rsidRPr="009005FB" w14:paraId="470BC4AB" w14:textId="77777777" w:rsidTr="001149AD">
        <w:tc>
          <w:tcPr>
            <w:tcW w:w="4261" w:type="dxa"/>
            <w:shd w:val="clear" w:color="auto" w:fill="auto"/>
          </w:tcPr>
          <w:p w14:paraId="26428ED7" w14:textId="77777777" w:rsidR="00ED56B7" w:rsidRPr="009005FB" w:rsidRDefault="00ED56B7" w:rsidP="001149AD">
            <w:r w:rsidRPr="009005FB">
              <w:lastRenderedPageBreak/>
              <w:t>Austria</w:t>
            </w:r>
          </w:p>
        </w:tc>
        <w:tc>
          <w:tcPr>
            <w:tcW w:w="4261" w:type="dxa"/>
            <w:shd w:val="clear" w:color="auto" w:fill="auto"/>
          </w:tcPr>
          <w:p w14:paraId="626E930A" w14:textId="77777777" w:rsidR="00ED56B7" w:rsidRPr="009005FB" w:rsidRDefault="00ED56B7" w:rsidP="001149AD">
            <w:r w:rsidRPr="009005FB">
              <w:t>19</w:t>
            </w:r>
          </w:p>
        </w:tc>
      </w:tr>
      <w:tr w:rsidR="00ED56B7" w:rsidRPr="009005FB" w14:paraId="70331151" w14:textId="77777777" w:rsidTr="001149AD">
        <w:tc>
          <w:tcPr>
            <w:tcW w:w="4261" w:type="dxa"/>
            <w:shd w:val="clear" w:color="auto" w:fill="auto"/>
          </w:tcPr>
          <w:p w14:paraId="2984AC63" w14:textId="77777777" w:rsidR="00ED56B7" w:rsidRPr="009005FB" w:rsidRDefault="00ED56B7" w:rsidP="001149AD">
            <w:r w:rsidRPr="009005FB">
              <w:t>Poland</w:t>
            </w:r>
          </w:p>
        </w:tc>
        <w:tc>
          <w:tcPr>
            <w:tcW w:w="4261" w:type="dxa"/>
            <w:shd w:val="clear" w:color="auto" w:fill="auto"/>
          </w:tcPr>
          <w:p w14:paraId="61D62AC1" w14:textId="77777777" w:rsidR="00ED56B7" w:rsidRPr="009005FB" w:rsidRDefault="00ED56B7" w:rsidP="001149AD">
            <w:r w:rsidRPr="009005FB">
              <w:t>51</w:t>
            </w:r>
          </w:p>
        </w:tc>
      </w:tr>
      <w:tr w:rsidR="00ED56B7" w:rsidRPr="009005FB" w14:paraId="7FC50CA7" w14:textId="77777777" w:rsidTr="001149AD">
        <w:tc>
          <w:tcPr>
            <w:tcW w:w="4261" w:type="dxa"/>
            <w:shd w:val="clear" w:color="auto" w:fill="auto"/>
          </w:tcPr>
          <w:p w14:paraId="722C3D25" w14:textId="77777777" w:rsidR="00ED56B7" w:rsidRPr="009005FB" w:rsidRDefault="00ED56B7" w:rsidP="001149AD">
            <w:r w:rsidRPr="009005FB">
              <w:t>Portugal</w:t>
            </w:r>
          </w:p>
        </w:tc>
        <w:tc>
          <w:tcPr>
            <w:tcW w:w="4261" w:type="dxa"/>
            <w:shd w:val="clear" w:color="auto" w:fill="auto"/>
          </w:tcPr>
          <w:p w14:paraId="2632A3DD" w14:textId="77777777" w:rsidR="00ED56B7" w:rsidRPr="009005FB" w:rsidRDefault="00ED56B7" w:rsidP="001149AD">
            <w:r w:rsidRPr="009005FB">
              <w:t>21</w:t>
            </w:r>
          </w:p>
        </w:tc>
      </w:tr>
      <w:tr w:rsidR="00ED56B7" w:rsidRPr="009005FB" w14:paraId="4C1DC9B2" w14:textId="77777777" w:rsidTr="001149AD">
        <w:tc>
          <w:tcPr>
            <w:tcW w:w="4261" w:type="dxa"/>
            <w:shd w:val="clear" w:color="auto" w:fill="auto"/>
          </w:tcPr>
          <w:p w14:paraId="45836BC9" w14:textId="77777777" w:rsidR="00ED56B7" w:rsidRPr="009005FB" w:rsidRDefault="00ED56B7" w:rsidP="001149AD">
            <w:r w:rsidRPr="009005FB">
              <w:t>Romania</w:t>
            </w:r>
          </w:p>
        </w:tc>
        <w:tc>
          <w:tcPr>
            <w:tcW w:w="4261" w:type="dxa"/>
            <w:shd w:val="clear" w:color="auto" w:fill="auto"/>
          </w:tcPr>
          <w:p w14:paraId="5DCAE771" w14:textId="77777777" w:rsidR="00ED56B7" w:rsidRPr="009005FB" w:rsidRDefault="00ED56B7" w:rsidP="001149AD">
            <w:r w:rsidRPr="009005FB">
              <w:t>32</w:t>
            </w:r>
          </w:p>
        </w:tc>
      </w:tr>
      <w:tr w:rsidR="00ED56B7" w:rsidRPr="009005FB" w14:paraId="3BF70A0F" w14:textId="77777777" w:rsidTr="001149AD">
        <w:tc>
          <w:tcPr>
            <w:tcW w:w="4261" w:type="dxa"/>
            <w:shd w:val="clear" w:color="auto" w:fill="auto"/>
          </w:tcPr>
          <w:p w14:paraId="2DCF7DDE" w14:textId="77777777" w:rsidR="00ED56B7" w:rsidRPr="009005FB" w:rsidRDefault="00ED56B7" w:rsidP="001149AD">
            <w:r w:rsidRPr="009005FB">
              <w:t>Slovenia</w:t>
            </w:r>
          </w:p>
        </w:tc>
        <w:tc>
          <w:tcPr>
            <w:tcW w:w="4261" w:type="dxa"/>
            <w:shd w:val="clear" w:color="auto" w:fill="auto"/>
          </w:tcPr>
          <w:p w14:paraId="0C1C7D13" w14:textId="77777777" w:rsidR="00ED56B7" w:rsidRPr="009005FB" w:rsidRDefault="00ED56B7" w:rsidP="001149AD">
            <w:r w:rsidRPr="009005FB">
              <w:t xml:space="preserve">  8</w:t>
            </w:r>
          </w:p>
        </w:tc>
      </w:tr>
      <w:tr w:rsidR="00ED56B7" w:rsidRPr="009005FB" w14:paraId="4AED4675" w14:textId="77777777" w:rsidTr="001149AD">
        <w:tc>
          <w:tcPr>
            <w:tcW w:w="4261" w:type="dxa"/>
            <w:shd w:val="clear" w:color="auto" w:fill="auto"/>
          </w:tcPr>
          <w:p w14:paraId="0F49B838" w14:textId="77777777" w:rsidR="00ED56B7" w:rsidRPr="009005FB" w:rsidRDefault="00ED56B7" w:rsidP="001149AD">
            <w:r w:rsidRPr="009005FB">
              <w:t>Slovakia</w:t>
            </w:r>
          </w:p>
        </w:tc>
        <w:tc>
          <w:tcPr>
            <w:tcW w:w="4261" w:type="dxa"/>
            <w:shd w:val="clear" w:color="auto" w:fill="auto"/>
          </w:tcPr>
          <w:p w14:paraId="1A2CFCDC" w14:textId="77777777" w:rsidR="00ED56B7" w:rsidRPr="009005FB" w:rsidRDefault="00ED56B7" w:rsidP="001149AD">
            <w:r w:rsidRPr="009005FB">
              <w:t>14</w:t>
            </w:r>
          </w:p>
        </w:tc>
      </w:tr>
      <w:tr w:rsidR="00ED56B7" w:rsidRPr="009005FB" w14:paraId="2813F95A" w14:textId="77777777" w:rsidTr="001149AD">
        <w:tc>
          <w:tcPr>
            <w:tcW w:w="4261" w:type="dxa"/>
            <w:shd w:val="clear" w:color="auto" w:fill="auto"/>
          </w:tcPr>
          <w:p w14:paraId="0BB4DBBC" w14:textId="77777777" w:rsidR="00ED56B7" w:rsidRPr="009005FB" w:rsidRDefault="00ED56B7" w:rsidP="001149AD">
            <w:r w:rsidRPr="009005FB">
              <w:t>Finland</w:t>
            </w:r>
          </w:p>
        </w:tc>
        <w:tc>
          <w:tcPr>
            <w:tcW w:w="4261" w:type="dxa"/>
            <w:shd w:val="clear" w:color="auto" w:fill="auto"/>
          </w:tcPr>
          <w:p w14:paraId="345E7DFC" w14:textId="77777777" w:rsidR="00ED56B7" w:rsidRPr="009005FB" w:rsidRDefault="00ED56B7" w:rsidP="001149AD">
            <w:r w:rsidRPr="009005FB">
              <w:t>14</w:t>
            </w:r>
          </w:p>
        </w:tc>
      </w:tr>
      <w:tr w:rsidR="00ED56B7" w:rsidRPr="009005FB" w14:paraId="6D493040" w14:textId="77777777" w:rsidTr="001149AD">
        <w:tc>
          <w:tcPr>
            <w:tcW w:w="4261" w:type="dxa"/>
            <w:shd w:val="clear" w:color="auto" w:fill="auto"/>
          </w:tcPr>
          <w:p w14:paraId="2151AC24" w14:textId="77777777" w:rsidR="00ED56B7" w:rsidRPr="009005FB" w:rsidRDefault="00ED56B7" w:rsidP="001149AD">
            <w:r w:rsidRPr="009005FB">
              <w:t>Sweden</w:t>
            </w:r>
          </w:p>
        </w:tc>
        <w:tc>
          <w:tcPr>
            <w:tcW w:w="4261" w:type="dxa"/>
            <w:shd w:val="clear" w:color="auto" w:fill="auto"/>
          </w:tcPr>
          <w:p w14:paraId="5545AEA1" w14:textId="77777777" w:rsidR="00ED56B7" w:rsidRPr="009005FB" w:rsidRDefault="00ED56B7" w:rsidP="001149AD">
            <w:r w:rsidRPr="009005FB">
              <w:t>21</w:t>
            </w:r>
          </w:p>
        </w:tc>
      </w:tr>
    </w:tbl>
    <w:p w14:paraId="684F5CE8" w14:textId="77777777" w:rsidR="001E5115" w:rsidRPr="009005FB" w:rsidRDefault="001E5115" w:rsidP="002B3F41">
      <w:pPr>
        <w:spacing w:before="120" w:line="312" w:lineRule="atLeast"/>
        <w:jc w:val="both"/>
      </w:pPr>
    </w:p>
    <w:p w14:paraId="47AC21CC" w14:textId="5BAA020F" w:rsidR="00ED56B7" w:rsidRPr="009005FB" w:rsidRDefault="00ED56B7" w:rsidP="002B3F41">
      <w:pPr>
        <w:spacing w:before="120" w:line="312" w:lineRule="atLeast"/>
        <w:jc w:val="both"/>
        <w:rPr>
          <w:color w:val="444444"/>
          <w:szCs w:val="24"/>
          <w:lang w:val="en"/>
        </w:rPr>
      </w:pPr>
      <w:r w:rsidRPr="009005FB">
        <w:t>2.  If the date on which the United Kingdom’s withdrawal from the Union becomes legally effective</w:t>
      </w:r>
      <w:r w:rsidR="001149AD" w:rsidRPr="009005FB">
        <w:t xml:space="preserve"> falls</w:t>
      </w:r>
      <w:r w:rsidRPr="009005FB">
        <w:t xml:space="preserve"> after the European Parliament elections in 2019, </w:t>
      </w:r>
      <w:r w:rsidR="00703E48" w:rsidRPr="009005FB">
        <w:t xml:space="preserve">each </w:t>
      </w:r>
      <w:r w:rsidRPr="009005FB">
        <w:t>Member State concerned shall designate the persons who will fill the additional seats</w:t>
      </w:r>
      <w:r w:rsidR="00703E48" w:rsidRPr="009005FB">
        <w:rPr>
          <w:szCs w:val="24"/>
          <w:lang w:val="en"/>
        </w:rPr>
        <w:t xml:space="preserve"> resulting from the difference between the number of seats </w:t>
      </w:r>
      <w:r w:rsidR="00C978E3" w:rsidRPr="009005FB">
        <w:rPr>
          <w:szCs w:val="24"/>
          <w:lang w:val="en"/>
        </w:rPr>
        <w:t xml:space="preserve">allocated to that Member State in Article 3 of </w:t>
      </w:r>
      <w:r w:rsidR="00C978E3" w:rsidRPr="009005FB">
        <w:t>Decision 2013/312/EU</w:t>
      </w:r>
      <w:r w:rsidR="000535BB" w:rsidRPr="009005FB">
        <w:t xml:space="preserve"> </w:t>
      </w:r>
      <w:r w:rsidR="00C978E3" w:rsidRPr="009005FB">
        <w:t xml:space="preserve">and </w:t>
      </w:r>
      <w:r w:rsidR="00C978E3" w:rsidRPr="009005FB">
        <w:rPr>
          <w:szCs w:val="24"/>
          <w:lang w:val="en"/>
        </w:rPr>
        <w:t>the number of seats allocated to it in</w:t>
      </w:r>
      <w:r w:rsidRPr="009005FB">
        <w:rPr>
          <w:szCs w:val="24"/>
          <w:lang w:val="en"/>
        </w:rPr>
        <w:t xml:space="preserve"> the second subparagraph of paragraph 1</w:t>
      </w:r>
      <w:r w:rsidR="00C978E3" w:rsidRPr="009005FB">
        <w:rPr>
          <w:szCs w:val="24"/>
          <w:lang w:val="en"/>
        </w:rPr>
        <w:t xml:space="preserve"> of this Article. Member States shall designate the </w:t>
      </w:r>
      <w:r w:rsidR="00C978E3" w:rsidRPr="009005FB">
        <w:t>persons who will fill those additional seats</w:t>
      </w:r>
      <w:r w:rsidRPr="009005FB">
        <w:rPr>
          <w:szCs w:val="24"/>
          <w:lang w:val="en"/>
        </w:rPr>
        <w:t xml:space="preserve"> in accordance with </w:t>
      </w:r>
      <w:r w:rsidR="00C978E3" w:rsidRPr="009005FB">
        <w:rPr>
          <w:szCs w:val="24"/>
          <w:lang w:val="en"/>
        </w:rPr>
        <w:t>their</w:t>
      </w:r>
      <w:r w:rsidR="00703E48" w:rsidRPr="009005FB">
        <w:rPr>
          <w:szCs w:val="24"/>
          <w:lang w:val="en"/>
        </w:rPr>
        <w:t xml:space="preserve"> </w:t>
      </w:r>
      <w:r w:rsidRPr="009005FB">
        <w:rPr>
          <w:szCs w:val="24"/>
          <w:lang w:val="en"/>
        </w:rPr>
        <w:t>legislation</w:t>
      </w:r>
      <w:r w:rsidR="001149AD" w:rsidRPr="009005FB">
        <w:rPr>
          <w:szCs w:val="24"/>
          <w:lang w:val="en"/>
        </w:rPr>
        <w:t>,</w:t>
      </w:r>
      <w:r w:rsidRPr="009005FB">
        <w:rPr>
          <w:szCs w:val="24"/>
          <w:lang w:val="en"/>
        </w:rPr>
        <w:t xml:space="preserve"> provided that the persons in question have been elected by direct universal suffrage and</w:t>
      </w:r>
      <w:r w:rsidRPr="009005FB">
        <w:t xml:space="preserve"> by reference to the results of the European Parliament elections in 2019</w:t>
      </w:r>
      <w:r w:rsidR="00703E48" w:rsidRPr="009005FB">
        <w:rPr>
          <w:color w:val="444444"/>
          <w:szCs w:val="24"/>
          <w:lang w:val="en"/>
        </w:rPr>
        <w:t>.</w:t>
      </w:r>
    </w:p>
    <w:p w14:paraId="31997011" w14:textId="77777777" w:rsidR="00ED56B7" w:rsidRPr="009005FB" w:rsidRDefault="00ED56B7" w:rsidP="00ED56B7"/>
    <w:p w14:paraId="666D17A9" w14:textId="291F04DE" w:rsidR="00ED56B7" w:rsidRPr="009005FB" w:rsidRDefault="00ED56B7" w:rsidP="002B3F41">
      <w:pPr>
        <w:jc w:val="both"/>
      </w:pPr>
      <w:r w:rsidRPr="009005FB">
        <w:t xml:space="preserve">3. The representatives in the European Parliament who fill the additional seats </w:t>
      </w:r>
      <w:r w:rsidR="00703E48" w:rsidRPr="009005FB">
        <w:t xml:space="preserve">referred to in </w:t>
      </w:r>
      <w:r w:rsidRPr="009005FB">
        <w:t>paragraph</w:t>
      </w:r>
      <w:r w:rsidR="00703E48" w:rsidRPr="009005FB">
        <w:t xml:space="preserve"> 2</w:t>
      </w:r>
      <w:r w:rsidRPr="009005FB">
        <w:t xml:space="preserve"> shall take up their seats in Parliament at the same time.</w:t>
      </w:r>
    </w:p>
    <w:p w14:paraId="0231A649" w14:textId="77777777" w:rsidR="00ED56B7" w:rsidRPr="009005FB" w:rsidRDefault="00ED56B7" w:rsidP="00ED56B7"/>
    <w:p w14:paraId="45C4E39C" w14:textId="77777777" w:rsidR="00ED56B7" w:rsidRPr="009005FB" w:rsidRDefault="00ED56B7" w:rsidP="00ED56B7"/>
    <w:p w14:paraId="2D5CAE25" w14:textId="77777777" w:rsidR="00ED56B7" w:rsidRPr="009005FB" w:rsidRDefault="00ED56B7" w:rsidP="00ED56B7">
      <w:pPr>
        <w:jc w:val="center"/>
        <w:rPr>
          <w:i/>
        </w:rPr>
      </w:pPr>
      <w:r w:rsidRPr="009005FB">
        <w:rPr>
          <w:i/>
        </w:rPr>
        <w:t xml:space="preserve">Article 4  </w:t>
      </w:r>
    </w:p>
    <w:p w14:paraId="57917D15" w14:textId="77777777" w:rsidR="00ED56B7" w:rsidRPr="009005FB" w:rsidRDefault="00ED56B7" w:rsidP="00ED56B7">
      <w:pPr>
        <w:jc w:val="both"/>
      </w:pPr>
    </w:p>
    <w:p w14:paraId="03787EF3" w14:textId="260A6F46" w:rsidR="00ED56B7" w:rsidRPr="009005FB" w:rsidRDefault="00ED56B7" w:rsidP="00ED56B7">
      <w:pPr>
        <w:jc w:val="both"/>
      </w:pPr>
      <w:r w:rsidRPr="009005FB">
        <w:t xml:space="preserve">Sufficiently far in advance of the beginning of the 2024 – 2029 parliamentary term, the European Parliament shall </w:t>
      </w:r>
      <w:r w:rsidR="00EA5121" w:rsidRPr="009005FB">
        <w:t xml:space="preserve">submit </w:t>
      </w:r>
      <w:r w:rsidRPr="009005FB">
        <w:t xml:space="preserve">to the European Council, in accordance with Article 14(2) of the Treaty on European Union, a proposal for a permanent method for the allocation of seats between Member States. </w:t>
      </w:r>
    </w:p>
    <w:p w14:paraId="40AAEE78" w14:textId="77777777" w:rsidR="00ED56B7" w:rsidRPr="009005FB" w:rsidRDefault="00ED56B7" w:rsidP="00ED56B7"/>
    <w:p w14:paraId="788B424A" w14:textId="77777777" w:rsidR="00ED56B7" w:rsidRPr="009005FB" w:rsidRDefault="00ED56B7" w:rsidP="00ED56B7"/>
    <w:p w14:paraId="117B02C7" w14:textId="77777777" w:rsidR="00ED56B7" w:rsidRPr="009005FB" w:rsidRDefault="00ED56B7" w:rsidP="00ED56B7">
      <w:pPr>
        <w:jc w:val="center"/>
        <w:rPr>
          <w:i/>
        </w:rPr>
      </w:pPr>
      <w:r w:rsidRPr="009005FB">
        <w:rPr>
          <w:i/>
        </w:rPr>
        <w:t>Article 5</w:t>
      </w:r>
    </w:p>
    <w:p w14:paraId="3726435E" w14:textId="77777777" w:rsidR="00ED56B7" w:rsidRPr="009005FB" w:rsidRDefault="00ED56B7" w:rsidP="00ED56B7"/>
    <w:p w14:paraId="51F33408" w14:textId="77777777" w:rsidR="00ED56B7" w:rsidRPr="009005FB" w:rsidRDefault="00ED56B7" w:rsidP="00ED56B7">
      <w:pPr>
        <w:jc w:val="both"/>
      </w:pPr>
      <w:r w:rsidRPr="009005FB">
        <w:t xml:space="preserve">This Decision shall enter into force on the day following that of its publication in the </w:t>
      </w:r>
      <w:r w:rsidRPr="009005FB">
        <w:rPr>
          <w:i/>
        </w:rPr>
        <w:t>Official Journal of the European Union</w:t>
      </w:r>
      <w:r w:rsidRPr="009005FB">
        <w:t>.</w:t>
      </w:r>
    </w:p>
    <w:p w14:paraId="7A1FEA4C" w14:textId="77777777" w:rsidR="00ED56B7" w:rsidRPr="009005FB" w:rsidRDefault="00ED56B7" w:rsidP="00ED56B7"/>
    <w:p w14:paraId="356C6C2E" w14:textId="77777777" w:rsidR="00ED56B7" w:rsidRPr="009005FB" w:rsidRDefault="00ED56B7" w:rsidP="00ED56B7">
      <w:r w:rsidRPr="009005FB">
        <w:t>Done at ...</w:t>
      </w:r>
    </w:p>
    <w:p w14:paraId="1B7F033F" w14:textId="77777777" w:rsidR="00ED56B7" w:rsidRPr="009005FB" w:rsidRDefault="00ED56B7" w:rsidP="00ED56B7"/>
    <w:p w14:paraId="72AC35E4" w14:textId="77777777" w:rsidR="00ED56B7" w:rsidRPr="009005FB" w:rsidRDefault="00ED56B7" w:rsidP="00ED56B7">
      <w:pPr>
        <w:jc w:val="right"/>
      </w:pPr>
    </w:p>
    <w:p w14:paraId="539C59E6" w14:textId="77777777" w:rsidR="00ED56B7" w:rsidRPr="009005FB" w:rsidRDefault="00ED56B7" w:rsidP="00ED56B7">
      <w:pPr>
        <w:ind w:firstLine="5760"/>
        <w:jc w:val="center"/>
        <w:rPr>
          <w:i/>
        </w:rPr>
      </w:pPr>
      <w:r w:rsidRPr="009005FB">
        <w:rPr>
          <w:i/>
        </w:rPr>
        <w:t>For the European Council</w:t>
      </w:r>
    </w:p>
    <w:p w14:paraId="30319FF3" w14:textId="77777777" w:rsidR="00ED56B7" w:rsidRPr="009005FB" w:rsidRDefault="00ED56B7" w:rsidP="00ED56B7">
      <w:pPr>
        <w:ind w:firstLine="5760"/>
        <w:jc w:val="center"/>
        <w:rPr>
          <w:i/>
        </w:rPr>
      </w:pPr>
      <w:r w:rsidRPr="009005FB">
        <w:rPr>
          <w:i/>
        </w:rPr>
        <w:t>The President</w:t>
      </w:r>
    </w:p>
    <w:p w14:paraId="7AD20D7B" w14:textId="77777777" w:rsidR="00ED56B7" w:rsidRPr="009005FB" w:rsidRDefault="00ED56B7" w:rsidP="00ED56B7">
      <w:pPr>
        <w:pStyle w:val="Normal12Hanging"/>
        <w:ind w:left="284" w:hanging="284"/>
      </w:pPr>
    </w:p>
    <w:p w14:paraId="675C3093" w14:textId="77777777" w:rsidR="00ED56B7" w:rsidRPr="009005FB" w:rsidRDefault="00ED56B7" w:rsidP="00ED56B7">
      <w:pPr>
        <w:pStyle w:val="Normal12Hanging"/>
        <w:rPr>
          <w:rFonts w:ascii="inherit" w:hAnsi="inherit" w:cs="Arial"/>
          <w:b/>
          <w:bCs/>
          <w:color w:val="000000"/>
          <w:sz w:val="19"/>
          <w:szCs w:val="19"/>
        </w:rPr>
      </w:pPr>
    </w:p>
    <w:p w14:paraId="56C07235" w14:textId="77777777" w:rsidR="00ED56B7" w:rsidRPr="009005FB" w:rsidRDefault="00ED56B7" w:rsidP="00ED56B7">
      <w:pPr>
        <w:pStyle w:val="Normal12Hanging"/>
      </w:pPr>
      <w:r w:rsidRPr="009005FB">
        <w:t>.</w:t>
      </w:r>
    </w:p>
    <w:p w14:paraId="2FEA504B" w14:textId="77777777" w:rsidR="00ED56B7" w:rsidRPr="009005FB" w:rsidRDefault="00ED56B7" w:rsidP="00ED56B7">
      <w:pPr>
        <w:pStyle w:val="PageHeading"/>
        <w:spacing w:after="360"/>
      </w:pPr>
      <w:r w:rsidRPr="009005FB">
        <w:br w:type="page"/>
      </w:r>
      <w:bookmarkStart w:id="4" w:name="_Toc492651006"/>
      <w:r w:rsidRPr="009005FB">
        <w:lastRenderedPageBreak/>
        <w:t>EXPLANATORY STATEMENT</w:t>
      </w:r>
      <w:bookmarkEnd w:id="4"/>
    </w:p>
    <w:p w14:paraId="4B171C72" w14:textId="77777777" w:rsidR="00ED56B7" w:rsidRPr="009005FB" w:rsidRDefault="00ED56B7" w:rsidP="00ED56B7">
      <w:pPr>
        <w:spacing w:after="240"/>
        <w:jc w:val="both"/>
        <w:rPr>
          <w:sz w:val="22"/>
        </w:rPr>
      </w:pPr>
      <w:r w:rsidRPr="009005FB">
        <w:t>The apportionment of seats in the Parliament is a politically sensitive issue as it has a direct impact on citizens’ representation in the only directly elected European institution. In this respect, it is of utmost importance to ensure that the composition of the European Parliament is based on fair, transparent, objective, sustainable, and equitable principles.</w:t>
      </w:r>
    </w:p>
    <w:p w14:paraId="50AB1B07" w14:textId="77777777" w:rsidR="00ED56B7" w:rsidRPr="009005FB" w:rsidRDefault="00ED56B7" w:rsidP="00ED56B7">
      <w:pPr>
        <w:spacing w:after="240"/>
        <w:jc w:val="both"/>
        <w:rPr>
          <w:szCs w:val="24"/>
        </w:rPr>
      </w:pPr>
      <w:r w:rsidRPr="009005FB">
        <w:t>The distribution of the European Parliament’s seats must follow the general provisions of Article 14 of the Treaty on European Union. These provisions concern the size of the Parliament, the maximum and minimum number of seats allocated to each Member State, and that the seats must be allocated in line with the principle of degressive proportionality. This principle is currently defined by European Council Decision 2013/312/EU.</w:t>
      </w:r>
    </w:p>
    <w:p w14:paraId="4F38BEAC" w14:textId="77777777" w:rsidR="00ED56B7" w:rsidRPr="009005FB" w:rsidRDefault="00ED56B7" w:rsidP="00ED56B7">
      <w:pPr>
        <w:spacing w:after="240"/>
        <w:jc w:val="both"/>
        <w:rPr>
          <w:szCs w:val="22"/>
        </w:rPr>
      </w:pPr>
      <w:r w:rsidRPr="009005FB">
        <w:t>The current distribution of seats in the Parliament only partially respects the principle of degressive proportionality as defined in secondary legislation. The current distribution has been adopted as a “pragmatic solution”, which was also designed to partially compensate the imbalances resulting from the current voting system in the Council.  In 2013, this pragmatic solution was based on the principle that “nobody gains and nobody loses more than one seat” as a result of the political compromise that was struck. Such a political compromise meant that in some cases Members of the European Parliament from Member States with a smaller population represented more citizens per Member than their colleagues from relatively more populous Member States</w:t>
      </w:r>
      <w:r w:rsidRPr="009005FB">
        <w:rPr>
          <w:rStyle w:val="FootnoteReference"/>
        </w:rPr>
        <w:footnoteReference w:id="5"/>
      </w:r>
      <w:r w:rsidRPr="009005FB">
        <w:t xml:space="preserve">. This runs counter to the principle of degressive proportionality as it is currently defined. </w:t>
      </w:r>
    </w:p>
    <w:p w14:paraId="4EF7B23D" w14:textId="77777777" w:rsidR="00ED56B7" w:rsidRPr="009005FB" w:rsidRDefault="00ED56B7" w:rsidP="00ED56B7">
      <w:pPr>
        <w:spacing w:after="240"/>
        <w:jc w:val="both"/>
      </w:pPr>
      <w:r w:rsidRPr="009005FB">
        <w:t>The European Parliament has always attached great importance to the need to consider the establishment of a system for the distribution of seats in conjunction with a revision of the voting system in the Council, in order to ensure an inter-institutional balance</w:t>
      </w:r>
      <w:r w:rsidRPr="009005FB">
        <w:rPr>
          <w:rStyle w:val="FootnoteReference"/>
        </w:rPr>
        <w:footnoteReference w:id="6"/>
      </w:r>
      <w:r w:rsidRPr="009005FB">
        <w:t xml:space="preserve">. This issue is alluded to in the European Council Decision of 28 June 2013 on the composition of Parliament (2013/312/EU). It must be noted, however, that a change to the voting rules in the Council would require a change in the Treaties. </w:t>
      </w:r>
    </w:p>
    <w:p w14:paraId="0F7D9B44" w14:textId="77777777" w:rsidR="00ED56B7" w:rsidRPr="009005FB" w:rsidRDefault="00ED56B7" w:rsidP="00ED56B7">
      <w:pPr>
        <w:spacing w:after="240"/>
        <w:jc w:val="both"/>
        <w:rPr>
          <w:szCs w:val="24"/>
        </w:rPr>
      </w:pPr>
      <w:r w:rsidRPr="009005FB">
        <w:rPr>
          <w:szCs w:val="24"/>
        </w:rPr>
        <w:t>Over the years, the Parliament has acknowledged the importance of a permanent system for the fair, objective, and transparent</w:t>
      </w:r>
      <w:r w:rsidRPr="009005FB">
        <w:rPr>
          <w:rStyle w:val="FootnoteReference"/>
          <w:szCs w:val="24"/>
        </w:rPr>
        <w:footnoteReference w:id="7"/>
      </w:r>
      <w:r w:rsidRPr="009005FB">
        <w:rPr>
          <w:szCs w:val="24"/>
        </w:rPr>
        <w:t xml:space="preserve"> distribution of its seats, before each new European election, in line with the provisions as set out in the Treaties. In this regard, it has sought to find a suitable method by commissioning several studies to examine a number of mathematical models for the allocation of its seats. However, a permanent system has not yet been put in place.</w:t>
      </w:r>
    </w:p>
    <w:p w14:paraId="60BA2FA8" w14:textId="77777777" w:rsidR="00ED56B7" w:rsidRPr="009005FB" w:rsidRDefault="00ED56B7" w:rsidP="00ED56B7">
      <w:pPr>
        <w:spacing w:after="240"/>
        <w:jc w:val="both"/>
        <w:rPr>
          <w:lang w:val="en-US"/>
        </w:rPr>
      </w:pPr>
      <w:r w:rsidRPr="009005FB">
        <w:t>In its Resolution of 13 March 2013 on the composition of the European Parliament in view of the 2014 elections</w:t>
      </w:r>
      <w:r w:rsidRPr="009005FB">
        <w:rPr>
          <w:rStyle w:val="FootnoteReference"/>
        </w:rPr>
        <w:footnoteReference w:id="8"/>
      </w:r>
      <w:r w:rsidRPr="009005FB">
        <w:t xml:space="preserve">, the Parliament undertook to propose a system for the apportionment of its </w:t>
      </w:r>
      <w:r w:rsidRPr="009005FB">
        <w:lastRenderedPageBreak/>
        <w:t>seats. This idea was taken up by the European Council in</w:t>
      </w:r>
      <w:r w:rsidRPr="009005FB">
        <w:rPr>
          <w:lang w:val="en-US"/>
        </w:rPr>
        <w:t xml:space="preserve"> Article 4 of </w:t>
      </w:r>
      <w:r w:rsidRPr="009005FB">
        <w:t xml:space="preserve">its Decision </w:t>
      </w:r>
      <w:r w:rsidRPr="009005FB">
        <w:rPr>
          <w:lang w:val="en-US"/>
        </w:rPr>
        <w:t>of June 2013 establishing the composition of the European Parliament</w:t>
      </w:r>
      <w:r w:rsidRPr="009005FB">
        <w:rPr>
          <w:rStyle w:val="FootnoteReference"/>
          <w:lang w:val="en-US"/>
        </w:rPr>
        <w:footnoteReference w:id="9"/>
      </w:r>
      <w:r w:rsidRPr="009005FB">
        <w:rPr>
          <w:lang w:val="en-US"/>
        </w:rPr>
        <w:t xml:space="preserve"> (to which the Parliament gave its consent). This Decision committed the Parliament to present a proposal for the definition of </w:t>
      </w:r>
      <w:r w:rsidRPr="009005FB">
        <w:rPr>
          <w:i/>
          <w:lang w:val="en-US"/>
        </w:rPr>
        <w:t xml:space="preserve">“…a system which in future will make it possible, before each fresh election to the European Parliament, to allocate the seats between Member States …” </w:t>
      </w:r>
      <w:r w:rsidRPr="009005FB">
        <w:rPr>
          <w:lang w:val="en-US"/>
        </w:rPr>
        <w:t>by the end of 2016. Due to compelling political reasons linked to the  UK referendum of 23 June 2016, the Parliament could not prepare a proposal before the end of 2016, as required by the European Council Decision.</w:t>
      </w:r>
    </w:p>
    <w:p w14:paraId="61C32376" w14:textId="77777777" w:rsidR="00ED56B7" w:rsidRPr="009005FB" w:rsidRDefault="00ED56B7" w:rsidP="00ED56B7">
      <w:pPr>
        <w:spacing w:after="240"/>
        <w:jc w:val="both"/>
      </w:pPr>
      <w:r w:rsidRPr="009005FB">
        <w:t>The Rapporteurs have examined a number of proposals for a permanent system for the distribution of seats in Parliament based on mathematical formulas</w:t>
      </w:r>
      <w:r w:rsidRPr="009005FB">
        <w:rPr>
          <w:rStyle w:val="FootnoteReference"/>
        </w:rPr>
        <w:footnoteReference w:id="10"/>
      </w:r>
      <w:r w:rsidRPr="009005FB">
        <w:t xml:space="preserve">. Among the proposals which came closest to matching all criteria was the FPS (Fix, Proportional to population and Square root to population) method. It produces interesting results that deserve further analysis and should be taken into consideration for the future allocation of seats from the 2024 elections onwards.  </w:t>
      </w:r>
    </w:p>
    <w:p w14:paraId="16344122" w14:textId="77777777" w:rsidR="00ED56B7" w:rsidRPr="009005FB" w:rsidRDefault="00ED56B7" w:rsidP="00ED56B7">
      <w:pPr>
        <w:spacing w:after="240"/>
        <w:jc w:val="both"/>
      </w:pPr>
      <w:r w:rsidRPr="009005FB">
        <w:t xml:space="preserve">While this and other formulas do respect the formal conditions necessary to achieve a composition of Parliament, which fully meets the requirements of Article 14 (2) TEU, they do not provide a solution which is also politically acceptable in the long run as well as in the current context. This current political context makes it very difficult to commit to a permanent system for the distribution of Parliament’s seats at this time. The political uncertainty is further compounded by the legal uncertainty as a result of the triggering of Article 50 by the United Kingdom. This is especially the case, because the procedure for finalising the European Council Decision in the Annex of this resolution has to be concluded by the summer of 2018, due to legal constraints of some Member States. By that time, the UK’s withdrawal from the EU will not have been completed. Therefore, it is legally and politically unfeasible to propose a permanent system for the distribution of the Parliament’s seats at this stage. </w:t>
      </w:r>
    </w:p>
    <w:p w14:paraId="6DB371F7" w14:textId="77777777" w:rsidR="00ED56B7" w:rsidRPr="009005FB" w:rsidRDefault="00ED56B7" w:rsidP="00ED56B7">
      <w:pPr>
        <w:spacing w:after="240"/>
        <w:jc w:val="both"/>
      </w:pPr>
      <w:r w:rsidRPr="009005FB">
        <w:t>Furthermore, as the Parliament has already underlined the importance of the link between a permanent system for the distribution of its seats and a review of the voting system in the Council, which cannot be achieved without a revision of the Treaties, the Rapporteurs consider that the establishment of a system should be postponed to a time when the political context is ripe for a comprehensive discussion on the inter-institutional balance.</w:t>
      </w:r>
    </w:p>
    <w:p w14:paraId="18280EEA" w14:textId="77777777" w:rsidR="00ED56B7" w:rsidRPr="009005FB" w:rsidRDefault="00ED56B7" w:rsidP="00ED56B7">
      <w:pPr>
        <w:spacing w:after="240"/>
        <w:jc w:val="both"/>
        <w:rPr>
          <w:b/>
        </w:rPr>
      </w:pPr>
      <w:r w:rsidRPr="009005FB">
        <w:rPr>
          <w:b/>
        </w:rPr>
        <w:t>The Rapporteurs’ proposal: a solution based on principles</w:t>
      </w:r>
    </w:p>
    <w:p w14:paraId="53D0D5FD" w14:textId="77777777" w:rsidR="00ED56B7" w:rsidRPr="009005FB" w:rsidRDefault="00ED56B7" w:rsidP="00ED56B7">
      <w:pPr>
        <w:spacing w:after="240"/>
        <w:jc w:val="both"/>
      </w:pPr>
      <w:r w:rsidRPr="009005FB">
        <w:t xml:space="preserve">The Rapporteurs are presenting a draft European Council Decision on the composition of Parliament that provides a distribution of seats among the Member States, which is fair, objective and based on clear principles. Taking into account the need of Member States to have legal certainty regarding the number of representatives they would elect for the 2019 - 2024 parliamentary term sufficiently ahead of the elections, the Rapporteurs propose to maintain the currently applicable distribution of seats for the period while the UK is still a Member of the Union. Once the UK formally and legally withdraws from the Union, the new </w:t>
      </w:r>
      <w:r w:rsidRPr="009005FB">
        <w:lastRenderedPageBreak/>
        <w:t xml:space="preserve">distribution would take effect. </w:t>
      </w:r>
    </w:p>
    <w:p w14:paraId="0DAE207B" w14:textId="77777777" w:rsidR="00ED56B7" w:rsidRPr="009005FB" w:rsidRDefault="00ED56B7" w:rsidP="00ED56B7">
      <w:pPr>
        <w:spacing w:after="240"/>
        <w:jc w:val="both"/>
      </w:pPr>
      <w:r w:rsidRPr="009005FB">
        <w:t>This new distribution is based on three principles:</w:t>
      </w:r>
    </w:p>
    <w:p w14:paraId="6C20D2CB" w14:textId="77777777" w:rsidR="00ED56B7" w:rsidRPr="009005FB" w:rsidRDefault="001E5115" w:rsidP="001E5115">
      <w:pPr>
        <w:spacing w:after="240"/>
        <w:ind w:left="720" w:hanging="360"/>
        <w:jc w:val="both"/>
      </w:pPr>
      <w:bookmarkStart w:id="5" w:name="_Ref492559657"/>
      <w:r w:rsidRPr="009005FB">
        <w:t>1.</w:t>
      </w:r>
      <w:r w:rsidRPr="009005FB">
        <w:tab/>
      </w:r>
      <w:r w:rsidR="00ED56B7" w:rsidRPr="009005FB">
        <w:t>Respect for the principle of degressive proportionality, as required by Article 14 TEU</w:t>
      </w:r>
      <w:bookmarkEnd w:id="5"/>
    </w:p>
    <w:p w14:paraId="424393DB" w14:textId="77777777" w:rsidR="00ED56B7" w:rsidRPr="009005FB" w:rsidRDefault="001E5115" w:rsidP="001E5115">
      <w:pPr>
        <w:spacing w:after="240"/>
        <w:ind w:left="720" w:hanging="360"/>
        <w:jc w:val="both"/>
      </w:pPr>
      <w:r w:rsidRPr="009005FB">
        <w:t>2.</w:t>
      </w:r>
      <w:r w:rsidRPr="009005FB">
        <w:tab/>
      </w:r>
      <w:r w:rsidR="00ED56B7" w:rsidRPr="009005FB">
        <w:t>No loss of seats for any Member State</w:t>
      </w:r>
    </w:p>
    <w:p w14:paraId="358C17CB" w14:textId="77777777" w:rsidR="00ED56B7" w:rsidRPr="009005FB" w:rsidRDefault="001E5115" w:rsidP="001E5115">
      <w:pPr>
        <w:spacing w:after="240"/>
        <w:ind w:left="720" w:hanging="360"/>
        <w:jc w:val="both"/>
      </w:pPr>
      <w:r w:rsidRPr="009005FB">
        <w:t>3.</w:t>
      </w:r>
      <w:r w:rsidRPr="009005FB">
        <w:tab/>
      </w:r>
      <w:r w:rsidR="00ED56B7" w:rsidRPr="009005FB">
        <w:t xml:space="preserve">A minimal redistribution of the seats vacated by the UK’s exit from the EU </w:t>
      </w:r>
    </w:p>
    <w:p w14:paraId="5A799B6A" w14:textId="77777777" w:rsidR="00ED56B7" w:rsidRPr="009005FB" w:rsidRDefault="00ED56B7" w:rsidP="00ED56B7">
      <w:pPr>
        <w:spacing w:after="240"/>
        <w:jc w:val="both"/>
      </w:pPr>
      <w:r w:rsidRPr="009005FB">
        <w:t>The proposed solution is a viable option in the current political context and it fully respects the three above-mentioned principles and all criteria listed in Article 14 TEU. The proposal of the Rapporteurs uses a minimal number of UK seats that would remain vacant when the UK’s withdrawal from the EU has been formally and legally completed, thus bringing the size of Parliament down to 699 MEPs plus the President. This would mean that 51 seats remain available for potential future enlargements or to be partially used for a joint constituency.</w:t>
      </w:r>
    </w:p>
    <w:p w14:paraId="064C1517" w14:textId="77777777" w:rsidR="00ED56B7" w:rsidRPr="009005FB" w:rsidRDefault="00ED56B7" w:rsidP="00ED56B7">
      <w:pPr>
        <w:spacing w:after="240"/>
        <w:jc w:val="both"/>
      </w:pPr>
      <w:r w:rsidRPr="009005FB">
        <w:t>Furthermore, the new distribution based on principles corrects all breaches to the principle of degressive proportionality without entailing any losses of seats for the member States, while at the same time reducing the size of Parliament.</w:t>
      </w:r>
    </w:p>
    <w:p w14:paraId="2FD1D631" w14:textId="77777777" w:rsidR="00ED56B7" w:rsidRPr="009005FB" w:rsidRDefault="00ED56B7" w:rsidP="00ED56B7">
      <w:pPr>
        <w:spacing w:after="240"/>
        <w:jc w:val="both"/>
      </w:pPr>
      <w:r w:rsidRPr="009005FB">
        <w:t>Annex I illustrates the impact of the Rapporteurs’ proposal on the distribution of seats among the Member States. Most notably it proves that the proposed solution respects the principle of degressive proportionality by meeting the following two criteria:</w:t>
      </w:r>
    </w:p>
    <w:p w14:paraId="2012F08B" w14:textId="77777777" w:rsidR="00ED56B7" w:rsidRPr="009005FB" w:rsidRDefault="00ED56B7" w:rsidP="00ED56B7">
      <w:pPr>
        <w:spacing w:after="240"/>
        <w:jc w:val="both"/>
      </w:pPr>
      <w:r w:rsidRPr="009005FB">
        <w:t>(1)</w:t>
      </w:r>
      <w:r w:rsidRPr="009005FB">
        <w:tab/>
        <w:t>no less populous State shall receive more seats than a  more populous State,</w:t>
      </w:r>
    </w:p>
    <w:p w14:paraId="11A2B6B4" w14:textId="77777777" w:rsidR="00ED56B7" w:rsidRPr="009005FB" w:rsidRDefault="00ED56B7" w:rsidP="00ED56B7">
      <w:pPr>
        <w:spacing w:after="240"/>
        <w:jc w:val="both"/>
      </w:pPr>
      <w:r w:rsidRPr="009005FB">
        <w:t>(2)</w:t>
      </w:r>
      <w:r w:rsidRPr="009005FB">
        <w:tab/>
        <w:t>the ratio population/seats shall increase as population increases before rounding to whole numbers.</w:t>
      </w:r>
    </w:p>
    <w:p w14:paraId="2A47BF54" w14:textId="77777777" w:rsidR="00ED56B7" w:rsidRPr="009005FB" w:rsidRDefault="00ED56B7" w:rsidP="00ED56B7">
      <w:pPr>
        <w:spacing w:after="240"/>
        <w:jc w:val="both"/>
      </w:pPr>
      <w:r w:rsidRPr="009005FB">
        <w:t xml:space="preserve">Regarding the issue of the joint constituency, the Rapporteurs underline that this issue should be settled in the framework of the reform of the European electoral law. The European Parliament resolution of 11 November 2015 on the reform of the electoral law of the European Union outlined the possibility of establishing a joint constituency in which lists are headed by each political family’s candidate for the post of President of the Commission. Therefore, once the legal basis has been adopted, the creation of a joint constituency and the setting aside of a portion of Parliament’s seats for this purpose </w:t>
      </w:r>
      <w:r w:rsidRPr="009005FB">
        <w:rPr>
          <w:color w:val="000000"/>
        </w:rPr>
        <w:t>should</w:t>
      </w:r>
      <w:r w:rsidRPr="009005FB">
        <w:rPr>
          <w:color w:val="FF0000"/>
        </w:rPr>
        <w:t xml:space="preserve"> </w:t>
      </w:r>
      <w:r w:rsidRPr="009005FB">
        <w:t>be considered for future elections</w:t>
      </w:r>
      <w:r w:rsidR="002B3F41" w:rsidRPr="009005FB">
        <w:t>.</w:t>
      </w:r>
    </w:p>
    <w:p w14:paraId="1D83CC3D" w14:textId="77777777" w:rsidR="00ED56B7" w:rsidRPr="009005FB" w:rsidRDefault="001E5115" w:rsidP="001E5115">
      <w:pPr>
        <w:pStyle w:val="PageHeading"/>
      </w:pPr>
      <w:r w:rsidRPr="009005FB">
        <w:br w:type="page"/>
      </w:r>
      <w:bookmarkStart w:id="6" w:name="_Toc492651007"/>
      <w:r w:rsidR="00ED56B7" w:rsidRPr="009005FB">
        <w:lastRenderedPageBreak/>
        <w:t>ANNEX I</w:t>
      </w:r>
      <w:bookmarkEnd w:id="6"/>
    </w:p>
    <w:p w14:paraId="643F0804" w14:textId="77777777" w:rsidR="00ED56B7" w:rsidRPr="009005FB" w:rsidRDefault="00ED56B7" w:rsidP="001E5115">
      <w:pPr>
        <w:pStyle w:val="Normal12Bold"/>
      </w:pPr>
      <w:r w:rsidRPr="009005FB">
        <w:t>Principle-based solution for the distribution of seats in Parliament for the 2019 - 2024 parliamentary term:</w:t>
      </w:r>
    </w:p>
    <w:tbl>
      <w:tblPr>
        <w:tblW w:w="8925" w:type="dxa"/>
        <w:tblLook w:val="04A0" w:firstRow="1" w:lastRow="0" w:firstColumn="1" w:lastColumn="0" w:noHBand="0" w:noVBand="1"/>
      </w:tblPr>
      <w:tblGrid>
        <w:gridCol w:w="1456"/>
        <w:gridCol w:w="1337"/>
        <w:gridCol w:w="1430"/>
        <w:gridCol w:w="1673"/>
        <w:gridCol w:w="1470"/>
        <w:gridCol w:w="1559"/>
      </w:tblGrid>
      <w:tr w:rsidR="00ED56B7" w:rsidRPr="009005FB" w14:paraId="1BB79BC1" w14:textId="77777777" w:rsidTr="001149AD">
        <w:trPr>
          <w:trHeight w:val="468"/>
        </w:trPr>
        <w:tc>
          <w:tcPr>
            <w:tcW w:w="1456" w:type="dxa"/>
            <w:tcBorders>
              <w:top w:val="nil"/>
              <w:left w:val="nil"/>
              <w:bottom w:val="nil"/>
              <w:right w:val="nil"/>
            </w:tcBorders>
            <w:shd w:val="clear" w:color="auto" w:fill="auto"/>
            <w:vAlign w:val="bottom"/>
            <w:hideMark/>
          </w:tcPr>
          <w:p w14:paraId="612362B5" w14:textId="77777777" w:rsidR="00ED56B7" w:rsidRPr="009005FB" w:rsidRDefault="00ED56B7" w:rsidP="001149AD">
            <w:pPr>
              <w:widowControl/>
              <w:rPr>
                <w:color w:val="000000"/>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8EB11E" w14:textId="77777777" w:rsidR="00ED56B7" w:rsidRPr="009005FB" w:rsidRDefault="00ED56B7" w:rsidP="001149AD">
            <w:pPr>
              <w:widowControl/>
              <w:jc w:val="center"/>
              <w:rPr>
                <w:b/>
                <w:bCs/>
                <w:color w:val="000000"/>
                <w:szCs w:val="24"/>
              </w:rPr>
            </w:pPr>
            <w:r w:rsidRPr="009005FB">
              <w:rPr>
                <w:b/>
                <w:bCs/>
                <w:color w:val="000000"/>
                <w:szCs w:val="24"/>
              </w:rPr>
              <w:t>Population 2017</w:t>
            </w:r>
            <w:r w:rsidRPr="009005FB">
              <w:rPr>
                <w:rStyle w:val="FootnoteReference"/>
                <w:b/>
                <w:bCs/>
                <w:color w:val="000000"/>
                <w:szCs w:val="24"/>
              </w:rPr>
              <w:footnoteReference w:id="11"/>
            </w:r>
          </w:p>
        </w:tc>
        <w:tc>
          <w:tcPr>
            <w:tcW w:w="1430" w:type="dxa"/>
            <w:tcBorders>
              <w:top w:val="single" w:sz="4" w:space="0" w:color="auto"/>
              <w:left w:val="nil"/>
              <w:bottom w:val="single" w:sz="4" w:space="0" w:color="auto"/>
              <w:right w:val="single" w:sz="4" w:space="0" w:color="auto"/>
            </w:tcBorders>
            <w:shd w:val="clear" w:color="auto" w:fill="auto"/>
            <w:vAlign w:val="bottom"/>
            <w:hideMark/>
          </w:tcPr>
          <w:p w14:paraId="6E2D8CEF" w14:textId="77777777" w:rsidR="00ED56B7" w:rsidRPr="009005FB" w:rsidRDefault="00ED56B7" w:rsidP="001149AD">
            <w:pPr>
              <w:widowControl/>
              <w:jc w:val="center"/>
              <w:rPr>
                <w:b/>
                <w:bCs/>
                <w:color w:val="000000"/>
                <w:szCs w:val="24"/>
              </w:rPr>
            </w:pPr>
            <w:r w:rsidRPr="009005FB">
              <w:rPr>
                <w:b/>
                <w:bCs/>
                <w:color w:val="000000"/>
                <w:szCs w:val="24"/>
              </w:rPr>
              <w:t>Current distribution of seats</w:t>
            </w:r>
          </w:p>
        </w:tc>
        <w:tc>
          <w:tcPr>
            <w:tcW w:w="1673" w:type="dxa"/>
            <w:tcBorders>
              <w:top w:val="single" w:sz="4" w:space="0" w:color="auto"/>
              <w:left w:val="nil"/>
              <w:bottom w:val="single" w:sz="4" w:space="0" w:color="auto"/>
              <w:right w:val="single" w:sz="4" w:space="0" w:color="auto"/>
            </w:tcBorders>
            <w:shd w:val="clear" w:color="auto" w:fill="auto"/>
            <w:vAlign w:val="bottom"/>
            <w:hideMark/>
          </w:tcPr>
          <w:p w14:paraId="6484A023" w14:textId="77777777" w:rsidR="00ED56B7" w:rsidRPr="009005FB" w:rsidRDefault="00ED56B7" w:rsidP="001149AD">
            <w:pPr>
              <w:widowControl/>
              <w:jc w:val="center"/>
              <w:rPr>
                <w:b/>
                <w:bCs/>
                <w:color w:val="000000"/>
                <w:szCs w:val="24"/>
              </w:rPr>
            </w:pPr>
            <w:r w:rsidRPr="009005FB">
              <w:rPr>
                <w:b/>
                <w:bCs/>
                <w:color w:val="000000"/>
                <w:szCs w:val="24"/>
              </w:rPr>
              <w:t>Population/ MEP</w:t>
            </w:r>
          </w:p>
        </w:tc>
        <w:tc>
          <w:tcPr>
            <w:tcW w:w="1470" w:type="dxa"/>
            <w:tcBorders>
              <w:top w:val="single" w:sz="4" w:space="0" w:color="auto"/>
              <w:left w:val="nil"/>
              <w:bottom w:val="single" w:sz="4" w:space="0" w:color="auto"/>
              <w:right w:val="single" w:sz="4" w:space="0" w:color="auto"/>
            </w:tcBorders>
            <w:shd w:val="clear" w:color="auto" w:fill="auto"/>
            <w:vAlign w:val="bottom"/>
            <w:hideMark/>
          </w:tcPr>
          <w:p w14:paraId="4F004D88" w14:textId="77777777" w:rsidR="00ED56B7" w:rsidRPr="009005FB" w:rsidRDefault="00ED56B7" w:rsidP="001149AD">
            <w:pPr>
              <w:widowControl/>
              <w:jc w:val="center"/>
              <w:rPr>
                <w:b/>
                <w:bCs/>
                <w:color w:val="000000"/>
                <w:szCs w:val="24"/>
              </w:rPr>
            </w:pPr>
            <w:r w:rsidRPr="009005FB">
              <w:rPr>
                <w:b/>
                <w:bCs/>
                <w:color w:val="000000"/>
                <w:szCs w:val="24"/>
              </w:rPr>
              <w:t>New Distribution</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9AB4D0C" w14:textId="77777777" w:rsidR="00ED56B7" w:rsidRPr="009005FB" w:rsidRDefault="00ED56B7" w:rsidP="001149AD">
            <w:pPr>
              <w:widowControl/>
              <w:jc w:val="center"/>
              <w:rPr>
                <w:b/>
                <w:bCs/>
                <w:color w:val="000000"/>
                <w:szCs w:val="24"/>
              </w:rPr>
            </w:pPr>
            <w:r w:rsidRPr="009005FB">
              <w:rPr>
                <w:b/>
                <w:bCs/>
                <w:color w:val="000000"/>
                <w:szCs w:val="24"/>
              </w:rPr>
              <w:t>Population/ MEP</w:t>
            </w:r>
          </w:p>
        </w:tc>
      </w:tr>
      <w:tr w:rsidR="00ED56B7" w:rsidRPr="009005FB" w14:paraId="1870BE80" w14:textId="77777777" w:rsidTr="001149AD">
        <w:trPr>
          <w:trHeight w:val="315"/>
        </w:trPr>
        <w:tc>
          <w:tcPr>
            <w:tcW w:w="14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DEFF25" w14:textId="77777777" w:rsidR="00ED56B7" w:rsidRPr="009005FB" w:rsidRDefault="00ED56B7" w:rsidP="001149AD">
            <w:pPr>
              <w:widowControl/>
              <w:rPr>
                <w:color w:val="000000"/>
                <w:szCs w:val="24"/>
              </w:rPr>
            </w:pPr>
            <w:r w:rsidRPr="009005FB">
              <w:rPr>
                <w:color w:val="000000"/>
                <w:szCs w:val="24"/>
              </w:rPr>
              <w:t>Germany</w:t>
            </w:r>
          </w:p>
        </w:tc>
        <w:tc>
          <w:tcPr>
            <w:tcW w:w="1337" w:type="dxa"/>
            <w:tcBorders>
              <w:top w:val="single" w:sz="8" w:space="0" w:color="auto"/>
              <w:left w:val="nil"/>
              <w:bottom w:val="single" w:sz="8" w:space="0" w:color="auto"/>
              <w:right w:val="single" w:sz="8" w:space="0" w:color="auto"/>
            </w:tcBorders>
            <w:shd w:val="clear" w:color="auto" w:fill="auto"/>
            <w:vAlign w:val="center"/>
            <w:hideMark/>
          </w:tcPr>
          <w:p w14:paraId="1EEF2BF3" w14:textId="77777777" w:rsidR="00ED56B7" w:rsidRPr="009005FB" w:rsidRDefault="00ED56B7" w:rsidP="001149AD">
            <w:pPr>
              <w:widowControl/>
              <w:jc w:val="center"/>
              <w:rPr>
                <w:color w:val="000000"/>
                <w:szCs w:val="24"/>
              </w:rPr>
            </w:pPr>
            <w:r w:rsidRPr="009005FB">
              <w:rPr>
                <w:color w:val="000000"/>
                <w:szCs w:val="24"/>
              </w:rPr>
              <w:t>82064489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5875C658" w14:textId="77777777" w:rsidR="00ED56B7" w:rsidRPr="009005FB" w:rsidRDefault="00ED56B7" w:rsidP="001149AD">
            <w:pPr>
              <w:widowControl/>
              <w:jc w:val="center"/>
              <w:rPr>
                <w:color w:val="000000"/>
                <w:szCs w:val="24"/>
              </w:rPr>
            </w:pPr>
            <w:r w:rsidRPr="009005FB">
              <w:rPr>
                <w:color w:val="000000"/>
                <w:szCs w:val="24"/>
              </w:rPr>
              <w:t>96</w:t>
            </w:r>
          </w:p>
        </w:tc>
        <w:tc>
          <w:tcPr>
            <w:tcW w:w="1673" w:type="dxa"/>
            <w:tcBorders>
              <w:top w:val="nil"/>
              <w:left w:val="nil"/>
              <w:bottom w:val="single" w:sz="4" w:space="0" w:color="auto"/>
              <w:right w:val="single" w:sz="4" w:space="0" w:color="auto"/>
            </w:tcBorders>
            <w:shd w:val="clear" w:color="auto" w:fill="auto"/>
            <w:noWrap/>
            <w:vAlign w:val="bottom"/>
            <w:hideMark/>
          </w:tcPr>
          <w:p w14:paraId="3946F93B" w14:textId="77777777" w:rsidR="00ED56B7" w:rsidRPr="009005FB" w:rsidRDefault="00ED56B7" w:rsidP="001149AD">
            <w:pPr>
              <w:widowControl/>
              <w:jc w:val="right"/>
              <w:rPr>
                <w:color w:val="000000"/>
                <w:szCs w:val="24"/>
              </w:rPr>
            </w:pPr>
            <w:r w:rsidRPr="009005FB">
              <w:rPr>
                <w:color w:val="000000"/>
                <w:szCs w:val="24"/>
              </w:rPr>
              <w:t>854838</w:t>
            </w:r>
          </w:p>
        </w:tc>
        <w:tc>
          <w:tcPr>
            <w:tcW w:w="1470" w:type="dxa"/>
            <w:tcBorders>
              <w:top w:val="nil"/>
              <w:left w:val="nil"/>
              <w:bottom w:val="single" w:sz="4" w:space="0" w:color="auto"/>
              <w:right w:val="single" w:sz="4" w:space="0" w:color="auto"/>
            </w:tcBorders>
            <w:shd w:val="clear" w:color="auto" w:fill="auto"/>
            <w:vAlign w:val="center"/>
            <w:hideMark/>
          </w:tcPr>
          <w:p w14:paraId="72D42F69" w14:textId="77777777" w:rsidR="00ED56B7" w:rsidRPr="009005FB" w:rsidRDefault="00ED56B7" w:rsidP="001149AD">
            <w:pPr>
              <w:widowControl/>
              <w:jc w:val="center"/>
              <w:rPr>
                <w:color w:val="000000"/>
                <w:szCs w:val="24"/>
              </w:rPr>
            </w:pPr>
            <w:r w:rsidRPr="009005FB">
              <w:rPr>
                <w:color w:val="000000"/>
                <w:szCs w:val="24"/>
              </w:rPr>
              <w:t>96</w:t>
            </w:r>
          </w:p>
        </w:tc>
        <w:tc>
          <w:tcPr>
            <w:tcW w:w="1559" w:type="dxa"/>
            <w:tcBorders>
              <w:top w:val="nil"/>
              <w:left w:val="nil"/>
              <w:bottom w:val="single" w:sz="4" w:space="0" w:color="auto"/>
              <w:right w:val="single" w:sz="4" w:space="0" w:color="auto"/>
            </w:tcBorders>
            <w:shd w:val="clear" w:color="auto" w:fill="auto"/>
            <w:noWrap/>
            <w:vAlign w:val="bottom"/>
            <w:hideMark/>
          </w:tcPr>
          <w:p w14:paraId="512BCD53" w14:textId="77777777" w:rsidR="00ED56B7" w:rsidRPr="009005FB" w:rsidRDefault="00ED56B7" w:rsidP="001149AD">
            <w:pPr>
              <w:widowControl/>
              <w:jc w:val="right"/>
              <w:rPr>
                <w:color w:val="000000"/>
                <w:szCs w:val="24"/>
              </w:rPr>
            </w:pPr>
            <w:r w:rsidRPr="009005FB">
              <w:rPr>
                <w:color w:val="000000"/>
                <w:szCs w:val="24"/>
              </w:rPr>
              <w:t>854838</w:t>
            </w:r>
          </w:p>
        </w:tc>
      </w:tr>
      <w:tr w:rsidR="00ED56B7" w:rsidRPr="009005FB" w14:paraId="3CB006DB"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3848E3B5" w14:textId="77777777" w:rsidR="00ED56B7" w:rsidRPr="009005FB" w:rsidRDefault="00ED56B7" w:rsidP="001149AD">
            <w:pPr>
              <w:widowControl/>
              <w:rPr>
                <w:color w:val="000000"/>
                <w:szCs w:val="24"/>
              </w:rPr>
            </w:pPr>
            <w:r w:rsidRPr="009005FB">
              <w:rPr>
                <w:color w:val="000000"/>
                <w:szCs w:val="24"/>
              </w:rPr>
              <w:t>France</w:t>
            </w:r>
          </w:p>
        </w:tc>
        <w:tc>
          <w:tcPr>
            <w:tcW w:w="1337" w:type="dxa"/>
            <w:tcBorders>
              <w:top w:val="nil"/>
              <w:left w:val="nil"/>
              <w:bottom w:val="single" w:sz="8" w:space="0" w:color="auto"/>
              <w:right w:val="single" w:sz="8" w:space="0" w:color="auto"/>
            </w:tcBorders>
            <w:shd w:val="clear" w:color="auto" w:fill="auto"/>
            <w:vAlign w:val="center"/>
            <w:hideMark/>
          </w:tcPr>
          <w:p w14:paraId="5F545ADD" w14:textId="77777777" w:rsidR="00ED56B7" w:rsidRPr="009005FB" w:rsidRDefault="00ED56B7" w:rsidP="001149AD">
            <w:pPr>
              <w:widowControl/>
              <w:jc w:val="center"/>
              <w:rPr>
                <w:color w:val="000000"/>
                <w:szCs w:val="24"/>
              </w:rPr>
            </w:pPr>
            <w:r w:rsidRPr="009005FB">
              <w:rPr>
                <w:color w:val="000000"/>
                <w:szCs w:val="24"/>
              </w:rPr>
              <w:t>66661621</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422EAE65" w14:textId="77777777" w:rsidR="00ED56B7" w:rsidRPr="009005FB" w:rsidRDefault="00ED56B7" w:rsidP="001149AD">
            <w:pPr>
              <w:widowControl/>
              <w:jc w:val="center"/>
              <w:rPr>
                <w:color w:val="000000"/>
                <w:szCs w:val="24"/>
              </w:rPr>
            </w:pPr>
            <w:r w:rsidRPr="009005FB">
              <w:rPr>
                <w:color w:val="000000"/>
                <w:szCs w:val="24"/>
              </w:rPr>
              <w:t>74</w:t>
            </w:r>
          </w:p>
        </w:tc>
        <w:tc>
          <w:tcPr>
            <w:tcW w:w="1673" w:type="dxa"/>
            <w:tcBorders>
              <w:top w:val="nil"/>
              <w:left w:val="nil"/>
              <w:bottom w:val="single" w:sz="4" w:space="0" w:color="auto"/>
              <w:right w:val="single" w:sz="4" w:space="0" w:color="auto"/>
            </w:tcBorders>
            <w:shd w:val="clear" w:color="auto" w:fill="auto"/>
            <w:noWrap/>
            <w:vAlign w:val="bottom"/>
            <w:hideMark/>
          </w:tcPr>
          <w:p w14:paraId="13E537EE" w14:textId="77777777" w:rsidR="00ED56B7" w:rsidRPr="009005FB" w:rsidRDefault="00ED56B7" w:rsidP="001149AD">
            <w:pPr>
              <w:widowControl/>
              <w:jc w:val="right"/>
              <w:rPr>
                <w:color w:val="000000"/>
                <w:szCs w:val="24"/>
              </w:rPr>
            </w:pPr>
            <w:r w:rsidRPr="009005FB">
              <w:rPr>
                <w:color w:val="000000"/>
                <w:szCs w:val="24"/>
              </w:rPr>
              <w:t>900833</w:t>
            </w:r>
          </w:p>
        </w:tc>
        <w:tc>
          <w:tcPr>
            <w:tcW w:w="1470" w:type="dxa"/>
            <w:tcBorders>
              <w:top w:val="nil"/>
              <w:left w:val="nil"/>
              <w:bottom w:val="single" w:sz="4" w:space="0" w:color="auto"/>
              <w:right w:val="single" w:sz="4" w:space="0" w:color="auto"/>
            </w:tcBorders>
            <w:shd w:val="clear" w:color="auto" w:fill="auto"/>
            <w:vAlign w:val="center"/>
            <w:hideMark/>
          </w:tcPr>
          <w:p w14:paraId="5B9F53C4" w14:textId="77777777" w:rsidR="00ED56B7" w:rsidRPr="009005FB" w:rsidRDefault="00ED56B7" w:rsidP="001149AD">
            <w:pPr>
              <w:widowControl/>
              <w:jc w:val="center"/>
              <w:rPr>
                <w:color w:val="000000"/>
                <w:szCs w:val="24"/>
              </w:rPr>
            </w:pPr>
            <w:r w:rsidRPr="009005FB">
              <w:rPr>
                <w:color w:val="000000"/>
                <w:szCs w:val="24"/>
              </w:rPr>
              <w:t>78</w:t>
            </w:r>
          </w:p>
        </w:tc>
        <w:tc>
          <w:tcPr>
            <w:tcW w:w="1559" w:type="dxa"/>
            <w:tcBorders>
              <w:top w:val="nil"/>
              <w:left w:val="nil"/>
              <w:bottom w:val="single" w:sz="4" w:space="0" w:color="auto"/>
              <w:right w:val="single" w:sz="4" w:space="0" w:color="auto"/>
            </w:tcBorders>
            <w:shd w:val="clear" w:color="auto" w:fill="auto"/>
            <w:noWrap/>
            <w:vAlign w:val="bottom"/>
            <w:hideMark/>
          </w:tcPr>
          <w:p w14:paraId="0A5D69C9" w14:textId="77777777" w:rsidR="00ED56B7" w:rsidRPr="009005FB" w:rsidRDefault="00ED56B7" w:rsidP="001149AD">
            <w:pPr>
              <w:widowControl/>
              <w:jc w:val="right"/>
              <w:rPr>
                <w:color w:val="000000"/>
                <w:szCs w:val="24"/>
              </w:rPr>
            </w:pPr>
            <w:r w:rsidRPr="009005FB">
              <w:rPr>
                <w:color w:val="000000"/>
                <w:szCs w:val="24"/>
              </w:rPr>
              <w:t>854636</w:t>
            </w:r>
          </w:p>
        </w:tc>
      </w:tr>
      <w:tr w:rsidR="00ED56B7" w:rsidRPr="009005FB" w14:paraId="53CD250F"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tcPr>
          <w:p w14:paraId="4803DA4C" w14:textId="77777777" w:rsidR="00ED56B7" w:rsidRPr="009005FB" w:rsidRDefault="00ED56B7" w:rsidP="001149AD">
            <w:pPr>
              <w:widowControl/>
              <w:rPr>
                <w:color w:val="000000"/>
                <w:szCs w:val="24"/>
              </w:rPr>
            </w:pPr>
            <w:r w:rsidRPr="009005FB">
              <w:rPr>
                <w:color w:val="000000"/>
                <w:szCs w:val="24"/>
              </w:rPr>
              <w:t>United Kingdom</w:t>
            </w:r>
          </w:p>
        </w:tc>
        <w:tc>
          <w:tcPr>
            <w:tcW w:w="1337" w:type="dxa"/>
            <w:tcBorders>
              <w:top w:val="nil"/>
              <w:left w:val="nil"/>
              <w:bottom w:val="single" w:sz="8" w:space="0" w:color="auto"/>
              <w:right w:val="single" w:sz="8" w:space="0" w:color="auto"/>
            </w:tcBorders>
            <w:shd w:val="clear" w:color="auto" w:fill="auto"/>
            <w:vAlign w:val="center"/>
          </w:tcPr>
          <w:p w14:paraId="56DA6E2C" w14:textId="77777777" w:rsidR="00ED56B7" w:rsidRPr="009005FB" w:rsidRDefault="00ED56B7" w:rsidP="001149AD">
            <w:pPr>
              <w:widowControl/>
              <w:jc w:val="center"/>
              <w:rPr>
                <w:color w:val="000000"/>
                <w:szCs w:val="24"/>
              </w:rPr>
            </w:pPr>
            <w:r w:rsidRPr="009005FB">
              <w:rPr>
                <w:color w:val="000000"/>
                <w:szCs w:val="24"/>
              </w:rPr>
              <w:t>65341183</w:t>
            </w:r>
          </w:p>
        </w:tc>
        <w:tc>
          <w:tcPr>
            <w:tcW w:w="1430" w:type="dxa"/>
            <w:tcBorders>
              <w:top w:val="nil"/>
              <w:left w:val="single" w:sz="4" w:space="0" w:color="auto"/>
              <w:bottom w:val="single" w:sz="4" w:space="0" w:color="auto"/>
              <w:right w:val="single" w:sz="4" w:space="0" w:color="auto"/>
            </w:tcBorders>
            <w:shd w:val="clear" w:color="auto" w:fill="auto"/>
            <w:vAlign w:val="center"/>
          </w:tcPr>
          <w:p w14:paraId="14C182A7" w14:textId="77777777" w:rsidR="00ED56B7" w:rsidRPr="009005FB" w:rsidRDefault="00ED56B7" w:rsidP="001149AD">
            <w:pPr>
              <w:widowControl/>
              <w:jc w:val="center"/>
              <w:rPr>
                <w:color w:val="000000"/>
                <w:szCs w:val="24"/>
              </w:rPr>
            </w:pPr>
            <w:r w:rsidRPr="009005FB">
              <w:rPr>
                <w:color w:val="000000"/>
                <w:szCs w:val="24"/>
              </w:rPr>
              <w:t>73</w:t>
            </w:r>
          </w:p>
        </w:tc>
        <w:tc>
          <w:tcPr>
            <w:tcW w:w="1673" w:type="dxa"/>
            <w:tcBorders>
              <w:top w:val="nil"/>
              <w:left w:val="nil"/>
              <w:bottom w:val="single" w:sz="4" w:space="0" w:color="auto"/>
              <w:right w:val="single" w:sz="4" w:space="0" w:color="auto"/>
            </w:tcBorders>
            <w:shd w:val="clear" w:color="auto" w:fill="auto"/>
            <w:noWrap/>
            <w:vAlign w:val="bottom"/>
          </w:tcPr>
          <w:p w14:paraId="5EBDED06" w14:textId="77777777" w:rsidR="00ED56B7" w:rsidRPr="009005FB" w:rsidRDefault="00ED56B7" w:rsidP="001149AD">
            <w:pPr>
              <w:widowControl/>
              <w:jc w:val="right"/>
              <w:rPr>
                <w:color w:val="000000"/>
                <w:szCs w:val="24"/>
              </w:rPr>
            </w:pPr>
            <w:r w:rsidRPr="009005FB">
              <w:rPr>
                <w:color w:val="000000"/>
                <w:szCs w:val="24"/>
              </w:rPr>
              <w:t>895085</w:t>
            </w:r>
          </w:p>
        </w:tc>
        <w:tc>
          <w:tcPr>
            <w:tcW w:w="1470" w:type="dxa"/>
            <w:tcBorders>
              <w:top w:val="nil"/>
              <w:left w:val="nil"/>
              <w:bottom w:val="single" w:sz="4" w:space="0" w:color="auto"/>
              <w:right w:val="single" w:sz="4" w:space="0" w:color="auto"/>
            </w:tcBorders>
            <w:shd w:val="clear" w:color="auto" w:fill="auto"/>
            <w:vAlign w:val="center"/>
          </w:tcPr>
          <w:p w14:paraId="373AED66" w14:textId="77777777" w:rsidR="00ED56B7" w:rsidRPr="009005FB" w:rsidRDefault="00ED56B7" w:rsidP="001149AD">
            <w:pPr>
              <w:widowControl/>
              <w:jc w:val="center"/>
              <w:rPr>
                <w:color w:val="000000"/>
                <w:szCs w:val="24"/>
              </w:rPr>
            </w:pPr>
          </w:p>
        </w:tc>
        <w:tc>
          <w:tcPr>
            <w:tcW w:w="1559" w:type="dxa"/>
            <w:tcBorders>
              <w:top w:val="nil"/>
              <w:left w:val="nil"/>
              <w:bottom w:val="single" w:sz="4" w:space="0" w:color="auto"/>
              <w:right w:val="single" w:sz="4" w:space="0" w:color="auto"/>
            </w:tcBorders>
            <w:shd w:val="clear" w:color="auto" w:fill="auto"/>
            <w:noWrap/>
            <w:vAlign w:val="bottom"/>
          </w:tcPr>
          <w:p w14:paraId="6AB2434F" w14:textId="77777777" w:rsidR="00ED56B7" w:rsidRPr="009005FB" w:rsidRDefault="00ED56B7" w:rsidP="001149AD">
            <w:pPr>
              <w:widowControl/>
              <w:jc w:val="right"/>
              <w:rPr>
                <w:color w:val="000000"/>
                <w:szCs w:val="24"/>
              </w:rPr>
            </w:pPr>
          </w:p>
        </w:tc>
      </w:tr>
      <w:tr w:rsidR="00ED56B7" w:rsidRPr="009005FB" w14:paraId="41B803E9"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001397DB" w14:textId="77777777" w:rsidR="00ED56B7" w:rsidRPr="009005FB" w:rsidRDefault="00ED56B7" w:rsidP="001149AD">
            <w:pPr>
              <w:widowControl/>
              <w:rPr>
                <w:color w:val="000000"/>
                <w:szCs w:val="24"/>
              </w:rPr>
            </w:pPr>
            <w:r w:rsidRPr="009005FB">
              <w:rPr>
                <w:color w:val="000000"/>
                <w:szCs w:val="24"/>
              </w:rPr>
              <w:t>Italy</w:t>
            </w:r>
          </w:p>
        </w:tc>
        <w:tc>
          <w:tcPr>
            <w:tcW w:w="1337" w:type="dxa"/>
            <w:tcBorders>
              <w:top w:val="nil"/>
              <w:left w:val="nil"/>
              <w:bottom w:val="single" w:sz="8" w:space="0" w:color="auto"/>
              <w:right w:val="single" w:sz="8" w:space="0" w:color="auto"/>
            </w:tcBorders>
            <w:shd w:val="clear" w:color="auto" w:fill="auto"/>
            <w:vAlign w:val="center"/>
            <w:hideMark/>
          </w:tcPr>
          <w:p w14:paraId="0AB55326" w14:textId="77777777" w:rsidR="00ED56B7" w:rsidRPr="009005FB" w:rsidRDefault="00ED56B7" w:rsidP="001149AD">
            <w:pPr>
              <w:widowControl/>
              <w:jc w:val="center"/>
              <w:rPr>
                <w:color w:val="000000"/>
                <w:szCs w:val="24"/>
              </w:rPr>
            </w:pPr>
            <w:r w:rsidRPr="009005FB">
              <w:rPr>
                <w:color w:val="000000"/>
                <w:szCs w:val="24"/>
              </w:rPr>
              <w:t>61302519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6943A12F" w14:textId="77777777" w:rsidR="00ED56B7" w:rsidRPr="009005FB" w:rsidRDefault="00ED56B7" w:rsidP="001149AD">
            <w:pPr>
              <w:widowControl/>
              <w:jc w:val="center"/>
              <w:rPr>
                <w:color w:val="000000"/>
                <w:szCs w:val="24"/>
              </w:rPr>
            </w:pPr>
            <w:r w:rsidRPr="009005FB">
              <w:rPr>
                <w:color w:val="000000"/>
                <w:szCs w:val="24"/>
              </w:rPr>
              <w:t>73</w:t>
            </w:r>
          </w:p>
        </w:tc>
        <w:tc>
          <w:tcPr>
            <w:tcW w:w="1673" w:type="dxa"/>
            <w:tcBorders>
              <w:top w:val="nil"/>
              <w:left w:val="nil"/>
              <w:bottom w:val="single" w:sz="4" w:space="0" w:color="auto"/>
              <w:right w:val="single" w:sz="4" w:space="0" w:color="auto"/>
            </w:tcBorders>
            <w:shd w:val="clear" w:color="auto" w:fill="auto"/>
            <w:noWrap/>
            <w:vAlign w:val="bottom"/>
            <w:hideMark/>
          </w:tcPr>
          <w:p w14:paraId="628B8166" w14:textId="77777777" w:rsidR="00ED56B7" w:rsidRPr="009005FB" w:rsidRDefault="00ED56B7" w:rsidP="001149AD">
            <w:pPr>
              <w:widowControl/>
              <w:jc w:val="right"/>
              <w:rPr>
                <w:color w:val="000000"/>
                <w:szCs w:val="24"/>
              </w:rPr>
            </w:pPr>
            <w:r w:rsidRPr="009005FB">
              <w:rPr>
                <w:color w:val="000000"/>
                <w:szCs w:val="24"/>
              </w:rPr>
              <w:t>839761</w:t>
            </w:r>
          </w:p>
        </w:tc>
        <w:tc>
          <w:tcPr>
            <w:tcW w:w="1470" w:type="dxa"/>
            <w:tcBorders>
              <w:top w:val="nil"/>
              <w:left w:val="nil"/>
              <w:bottom w:val="single" w:sz="4" w:space="0" w:color="auto"/>
              <w:right w:val="single" w:sz="4" w:space="0" w:color="auto"/>
            </w:tcBorders>
            <w:shd w:val="clear" w:color="auto" w:fill="auto"/>
            <w:vAlign w:val="center"/>
            <w:hideMark/>
          </w:tcPr>
          <w:p w14:paraId="1CF02150" w14:textId="77777777" w:rsidR="00ED56B7" w:rsidRPr="009005FB" w:rsidRDefault="00ED56B7" w:rsidP="001149AD">
            <w:pPr>
              <w:widowControl/>
              <w:jc w:val="center"/>
              <w:rPr>
                <w:color w:val="000000"/>
                <w:szCs w:val="24"/>
              </w:rPr>
            </w:pPr>
            <w:r w:rsidRPr="009005FB">
              <w:rPr>
                <w:color w:val="000000"/>
                <w:szCs w:val="24"/>
              </w:rPr>
              <w:t>76</w:t>
            </w:r>
          </w:p>
        </w:tc>
        <w:tc>
          <w:tcPr>
            <w:tcW w:w="1559" w:type="dxa"/>
            <w:tcBorders>
              <w:top w:val="nil"/>
              <w:left w:val="nil"/>
              <w:bottom w:val="single" w:sz="4" w:space="0" w:color="auto"/>
              <w:right w:val="single" w:sz="4" w:space="0" w:color="auto"/>
            </w:tcBorders>
            <w:shd w:val="clear" w:color="auto" w:fill="auto"/>
            <w:noWrap/>
            <w:vAlign w:val="bottom"/>
            <w:hideMark/>
          </w:tcPr>
          <w:p w14:paraId="433ACC2F" w14:textId="77777777" w:rsidR="00ED56B7" w:rsidRPr="009005FB" w:rsidRDefault="00ED56B7" w:rsidP="001149AD">
            <w:pPr>
              <w:widowControl/>
              <w:jc w:val="right"/>
              <w:rPr>
                <w:color w:val="000000"/>
                <w:szCs w:val="24"/>
              </w:rPr>
            </w:pPr>
            <w:r w:rsidRPr="009005FB">
              <w:rPr>
                <w:color w:val="000000"/>
                <w:szCs w:val="24"/>
              </w:rPr>
              <w:t>806612</w:t>
            </w:r>
          </w:p>
        </w:tc>
      </w:tr>
      <w:tr w:rsidR="00ED56B7" w:rsidRPr="009005FB" w14:paraId="2FC37B87"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4B7ADD82" w14:textId="77777777" w:rsidR="00ED56B7" w:rsidRPr="009005FB" w:rsidRDefault="00ED56B7" w:rsidP="001149AD">
            <w:pPr>
              <w:widowControl/>
              <w:rPr>
                <w:color w:val="000000"/>
                <w:szCs w:val="24"/>
              </w:rPr>
            </w:pPr>
            <w:r w:rsidRPr="009005FB">
              <w:rPr>
                <w:color w:val="000000"/>
                <w:szCs w:val="24"/>
              </w:rPr>
              <w:t>Spain</w:t>
            </w:r>
          </w:p>
        </w:tc>
        <w:tc>
          <w:tcPr>
            <w:tcW w:w="1337" w:type="dxa"/>
            <w:tcBorders>
              <w:top w:val="nil"/>
              <w:left w:val="nil"/>
              <w:bottom w:val="single" w:sz="8" w:space="0" w:color="auto"/>
              <w:right w:val="single" w:sz="8" w:space="0" w:color="auto"/>
            </w:tcBorders>
            <w:shd w:val="clear" w:color="auto" w:fill="auto"/>
            <w:vAlign w:val="center"/>
            <w:hideMark/>
          </w:tcPr>
          <w:p w14:paraId="4390923A" w14:textId="77777777" w:rsidR="00ED56B7" w:rsidRPr="009005FB" w:rsidRDefault="00ED56B7" w:rsidP="001149AD">
            <w:pPr>
              <w:widowControl/>
              <w:jc w:val="center"/>
              <w:rPr>
                <w:color w:val="000000"/>
                <w:szCs w:val="24"/>
              </w:rPr>
            </w:pPr>
            <w:r w:rsidRPr="009005FB">
              <w:rPr>
                <w:color w:val="000000"/>
                <w:szCs w:val="24"/>
              </w:rPr>
              <w:t>46438422</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1C469849" w14:textId="77777777" w:rsidR="00ED56B7" w:rsidRPr="009005FB" w:rsidRDefault="00ED56B7" w:rsidP="001149AD">
            <w:pPr>
              <w:widowControl/>
              <w:jc w:val="center"/>
              <w:rPr>
                <w:color w:val="000000"/>
                <w:szCs w:val="24"/>
              </w:rPr>
            </w:pPr>
            <w:r w:rsidRPr="009005FB">
              <w:rPr>
                <w:color w:val="000000"/>
                <w:szCs w:val="24"/>
              </w:rPr>
              <w:t>54</w:t>
            </w:r>
          </w:p>
        </w:tc>
        <w:tc>
          <w:tcPr>
            <w:tcW w:w="1673" w:type="dxa"/>
            <w:tcBorders>
              <w:top w:val="nil"/>
              <w:left w:val="nil"/>
              <w:bottom w:val="single" w:sz="4" w:space="0" w:color="auto"/>
              <w:right w:val="single" w:sz="4" w:space="0" w:color="auto"/>
            </w:tcBorders>
            <w:shd w:val="clear" w:color="auto" w:fill="auto"/>
            <w:noWrap/>
            <w:vAlign w:val="bottom"/>
            <w:hideMark/>
          </w:tcPr>
          <w:p w14:paraId="5B4CDA7F" w14:textId="77777777" w:rsidR="00ED56B7" w:rsidRPr="009005FB" w:rsidRDefault="00ED56B7" w:rsidP="001149AD">
            <w:pPr>
              <w:widowControl/>
              <w:jc w:val="right"/>
              <w:rPr>
                <w:color w:val="000000"/>
                <w:szCs w:val="24"/>
              </w:rPr>
            </w:pPr>
            <w:r w:rsidRPr="009005FB">
              <w:rPr>
                <w:color w:val="000000"/>
                <w:szCs w:val="24"/>
              </w:rPr>
              <w:t>859971</w:t>
            </w:r>
          </w:p>
        </w:tc>
        <w:tc>
          <w:tcPr>
            <w:tcW w:w="1470" w:type="dxa"/>
            <w:tcBorders>
              <w:top w:val="nil"/>
              <w:left w:val="nil"/>
              <w:bottom w:val="single" w:sz="4" w:space="0" w:color="auto"/>
              <w:right w:val="single" w:sz="4" w:space="0" w:color="auto"/>
            </w:tcBorders>
            <w:shd w:val="clear" w:color="auto" w:fill="auto"/>
            <w:vAlign w:val="center"/>
            <w:hideMark/>
          </w:tcPr>
          <w:p w14:paraId="2E6719E5" w14:textId="77777777" w:rsidR="00ED56B7" w:rsidRPr="009005FB" w:rsidRDefault="00ED56B7" w:rsidP="001149AD">
            <w:pPr>
              <w:widowControl/>
              <w:jc w:val="center"/>
              <w:rPr>
                <w:color w:val="000000"/>
                <w:szCs w:val="24"/>
              </w:rPr>
            </w:pPr>
            <w:r w:rsidRPr="009005FB">
              <w:rPr>
                <w:color w:val="000000"/>
                <w:szCs w:val="24"/>
              </w:rPr>
              <w:t>58</w:t>
            </w:r>
          </w:p>
        </w:tc>
        <w:tc>
          <w:tcPr>
            <w:tcW w:w="1559" w:type="dxa"/>
            <w:tcBorders>
              <w:top w:val="nil"/>
              <w:left w:val="nil"/>
              <w:bottom w:val="single" w:sz="4" w:space="0" w:color="auto"/>
              <w:right w:val="single" w:sz="4" w:space="0" w:color="auto"/>
            </w:tcBorders>
            <w:shd w:val="clear" w:color="auto" w:fill="auto"/>
            <w:noWrap/>
            <w:vAlign w:val="bottom"/>
            <w:hideMark/>
          </w:tcPr>
          <w:p w14:paraId="44594547" w14:textId="77777777" w:rsidR="00ED56B7" w:rsidRPr="009005FB" w:rsidRDefault="00ED56B7" w:rsidP="001149AD">
            <w:pPr>
              <w:widowControl/>
              <w:jc w:val="right"/>
              <w:rPr>
                <w:color w:val="000000"/>
                <w:szCs w:val="24"/>
              </w:rPr>
            </w:pPr>
            <w:r w:rsidRPr="009005FB">
              <w:rPr>
                <w:color w:val="000000"/>
                <w:szCs w:val="24"/>
              </w:rPr>
              <w:t>800662</w:t>
            </w:r>
          </w:p>
        </w:tc>
      </w:tr>
      <w:tr w:rsidR="00ED56B7" w:rsidRPr="009005FB" w14:paraId="1B360823"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7966AF80" w14:textId="77777777" w:rsidR="00ED56B7" w:rsidRPr="009005FB" w:rsidRDefault="00ED56B7" w:rsidP="001149AD">
            <w:pPr>
              <w:widowControl/>
              <w:rPr>
                <w:color w:val="000000"/>
                <w:szCs w:val="24"/>
              </w:rPr>
            </w:pPr>
            <w:r w:rsidRPr="009005FB">
              <w:rPr>
                <w:color w:val="000000"/>
                <w:szCs w:val="24"/>
              </w:rPr>
              <w:t>Poland</w:t>
            </w:r>
          </w:p>
        </w:tc>
        <w:tc>
          <w:tcPr>
            <w:tcW w:w="1337" w:type="dxa"/>
            <w:tcBorders>
              <w:top w:val="nil"/>
              <w:left w:val="nil"/>
              <w:bottom w:val="single" w:sz="8" w:space="0" w:color="auto"/>
              <w:right w:val="single" w:sz="8" w:space="0" w:color="auto"/>
            </w:tcBorders>
            <w:shd w:val="clear" w:color="auto" w:fill="auto"/>
            <w:vAlign w:val="center"/>
            <w:hideMark/>
          </w:tcPr>
          <w:p w14:paraId="7367A9F2" w14:textId="77777777" w:rsidR="00ED56B7" w:rsidRPr="009005FB" w:rsidRDefault="00ED56B7" w:rsidP="001149AD">
            <w:pPr>
              <w:widowControl/>
              <w:jc w:val="center"/>
              <w:rPr>
                <w:color w:val="000000"/>
                <w:szCs w:val="24"/>
              </w:rPr>
            </w:pPr>
            <w:r w:rsidRPr="009005FB">
              <w:rPr>
                <w:color w:val="000000"/>
                <w:szCs w:val="24"/>
              </w:rPr>
              <w:t>37967209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6AEFB135" w14:textId="77777777" w:rsidR="00ED56B7" w:rsidRPr="009005FB" w:rsidRDefault="00ED56B7" w:rsidP="001149AD">
            <w:pPr>
              <w:widowControl/>
              <w:jc w:val="center"/>
              <w:rPr>
                <w:color w:val="000000"/>
                <w:szCs w:val="24"/>
              </w:rPr>
            </w:pPr>
            <w:r w:rsidRPr="009005FB">
              <w:rPr>
                <w:color w:val="000000"/>
                <w:szCs w:val="24"/>
              </w:rPr>
              <w:t>51</w:t>
            </w:r>
          </w:p>
        </w:tc>
        <w:tc>
          <w:tcPr>
            <w:tcW w:w="1673" w:type="dxa"/>
            <w:tcBorders>
              <w:top w:val="nil"/>
              <w:left w:val="nil"/>
              <w:bottom w:val="single" w:sz="4" w:space="0" w:color="auto"/>
              <w:right w:val="single" w:sz="4" w:space="0" w:color="auto"/>
            </w:tcBorders>
            <w:shd w:val="clear" w:color="auto" w:fill="auto"/>
            <w:noWrap/>
            <w:vAlign w:val="bottom"/>
            <w:hideMark/>
          </w:tcPr>
          <w:p w14:paraId="086E27AF" w14:textId="77777777" w:rsidR="00ED56B7" w:rsidRPr="009005FB" w:rsidRDefault="00ED56B7" w:rsidP="001149AD">
            <w:pPr>
              <w:widowControl/>
              <w:jc w:val="right"/>
              <w:rPr>
                <w:color w:val="000000"/>
                <w:szCs w:val="24"/>
              </w:rPr>
            </w:pPr>
            <w:r w:rsidRPr="009005FB">
              <w:rPr>
                <w:color w:val="000000"/>
                <w:szCs w:val="24"/>
              </w:rPr>
              <w:t>744455</w:t>
            </w:r>
          </w:p>
        </w:tc>
        <w:tc>
          <w:tcPr>
            <w:tcW w:w="1470" w:type="dxa"/>
            <w:tcBorders>
              <w:top w:val="nil"/>
              <w:left w:val="nil"/>
              <w:bottom w:val="single" w:sz="4" w:space="0" w:color="auto"/>
              <w:right w:val="single" w:sz="4" w:space="0" w:color="auto"/>
            </w:tcBorders>
            <w:shd w:val="clear" w:color="auto" w:fill="auto"/>
            <w:vAlign w:val="center"/>
            <w:hideMark/>
          </w:tcPr>
          <w:p w14:paraId="04F50792" w14:textId="77777777" w:rsidR="00ED56B7" w:rsidRPr="009005FB" w:rsidRDefault="00ED56B7" w:rsidP="001149AD">
            <w:pPr>
              <w:widowControl/>
              <w:jc w:val="center"/>
              <w:rPr>
                <w:color w:val="000000"/>
                <w:szCs w:val="24"/>
              </w:rPr>
            </w:pPr>
            <w:r w:rsidRPr="009005FB">
              <w:rPr>
                <w:color w:val="000000"/>
                <w:szCs w:val="24"/>
              </w:rPr>
              <w:t>51</w:t>
            </w:r>
          </w:p>
        </w:tc>
        <w:tc>
          <w:tcPr>
            <w:tcW w:w="1559" w:type="dxa"/>
            <w:tcBorders>
              <w:top w:val="nil"/>
              <w:left w:val="nil"/>
              <w:bottom w:val="single" w:sz="4" w:space="0" w:color="auto"/>
              <w:right w:val="single" w:sz="4" w:space="0" w:color="auto"/>
            </w:tcBorders>
            <w:shd w:val="clear" w:color="auto" w:fill="auto"/>
            <w:noWrap/>
            <w:vAlign w:val="bottom"/>
            <w:hideMark/>
          </w:tcPr>
          <w:p w14:paraId="473018D9" w14:textId="77777777" w:rsidR="00ED56B7" w:rsidRPr="009005FB" w:rsidRDefault="00ED56B7" w:rsidP="001149AD">
            <w:pPr>
              <w:widowControl/>
              <w:jc w:val="right"/>
              <w:rPr>
                <w:color w:val="000000"/>
                <w:szCs w:val="24"/>
              </w:rPr>
            </w:pPr>
            <w:r w:rsidRPr="009005FB">
              <w:rPr>
                <w:color w:val="000000"/>
                <w:szCs w:val="24"/>
              </w:rPr>
              <w:t>744455</w:t>
            </w:r>
          </w:p>
        </w:tc>
      </w:tr>
      <w:tr w:rsidR="00ED56B7" w:rsidRPr="009005FB" w14:paraId="3B0240AF"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02E2EF40" w14:textId="77777777" w:rsidR="00ED56B7" w:rsidRPr="009005FB" w:rsidRDefault="00ED56B7" w:rsidP="001149AD">
            <w:pPr>
              <w:widowControl/>
              <w:rPr>
                <w:color w:val="000000"/>
                <w:szCs w:val="24"/>
              </w:rPr>
            </w:pPr>
            <w:r w:rsidRPr="009005FB">
              <w:rPr>
                <w:color w:val="000000"/>
                <w:szCs w:val="24"/>
              </w:rPr>
              <w:t>Romania</w:t>
            </w:r>
          </w:p>
        </w:tc>
        <w:tc>
          <w:tcPr>
            <w:tcW w:w="1337" w:type="dxa"/>
            <w:tcBorders>
              <w:top w:val="nil"/>
              <w:left w:val="nil"/>
              <w:bottom w:val="single" w:sz="8" w:space="0" w:color="auto"/>
              <w:right w:val="single" w:sz="8" w:space="0" w:color="auto"/>
            </w:tcBorders>
            <w:shd w:val="clear" w:color="auto" w:fill="auto"/>
            <w:vAlign w:val="center"/>
            <w:hideMark/>
          </w:tcPr>
          <w:p w14:paraId="57011722" w14:textId="77777777" w:rsidR="00ED56B7" w:rsidRPr="009005FB" w:rsidRDefault="00ED56B7" w:rsidP="001149AD">
            <w:pPr>
              <w:widowControl/>
              <w:jc w:val="center"/>
              <w:rPr>
                <w:color w:val="000000"/>
                <w:szCs w:val="24"/>
              </w:rPr>
            </w:pPr>
            <w:r w:rsidRPr="009005FB">
              <w:rPr>
                <w:color w:val="000000"/>
                <w:szCs w:val="24"/>
              </w:rPr>
              <w:t>19759968</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5FE145A0" w14:textId="77777777" w:rsidR="00ED56B7" w:rsidRPr="009005FB" w:rsidRDefault="00ED56B7" w:rsidP="001149AD">
            <w:pPr>
              <w:widowControl/>
              <w:jc w:val="center"/>
              <w:rPr>
                <w:color w:val="000000"/>
                <w:szCs w:val="24"/>
              </w:rPr>
            </w:pPr>
            <w:r w:rsidRPr="009005FB">
              <w:rPr>
                <w:color w:val="000000"/>
                <w:szCs w:val="24"/>
              </w:rPr>
              <w:t>32</w:t>
            </w:r>
          </w:p>
        </w:tc>
        <w:tc>
          <w:tcPr>
            <w:tcW w:w="1673" w:type="dxa"/>
            <w:tcBorders>
              <w:top w:val="nil"/>
              <w:left w:val="nil"/>
              <w:bottom w:val="single" w:sz="4" w:space="0" w:color="auto"/>
              <w:right w:val="single" w:sz="4" w:space="0" w:color="auto"/>
            </w:tcBorders>
            <w:shd w:val="clear" w:color="auto" w:fill="auto"/>
            <w:noWrap/>
            <w:vAlign w:val="bottom"/>
            <w:hideMark/>
          </w:tcPr>
          <w:p w14:paraId="6038E689" w14:textId="77777777" w:rsidR="00ED56B7" w:rsidRPr="009005FB" w:rsidRDefault="00ED56B7" w:rsidP="001149AD">
            <w:pPr>
              <w:widowControl/>
              <w:jc w:val="right"/>
              <w:rPr>
                <w:color w:val="000000"/>
                <w:szCs w:val="24"/>
              </w:rPr>
            </w:pPr>
            <w:r w:rsidRPr="009005FB">
              <w:rPr>
                <w:color w:val="000000"/>
                <w:szCs w:val="24"/>
              </w:rPr>
              <w:t>617499</w:t>
            </w:r>
          </w:p>
        </w:tc>
        <w:tc>
          <w:tcPr>
            <w:tcW w:w="1470" w:type="dxa"/>
            <w:tcBorders>
              <w:top w:val="nil"/>
              <w:left w:val="nil"/>
              <w:bottom w:val="single" w:sz="4" w:space="0" w:color="auto"/>
              <w:right w:val="single" w:sz="4" w:space="0" w:color="auto"/>
            </w:tcBorders>
            <w:shd w:val="clear" w:color="auto" w:fill="auto"/>
            <w:vAlign w:val="center"/>
            <w:hideMark/>
          </w:tcPr>
          <w:p w14:paraId="01F106B1" w14:textId="77777777" w:rsidR="00ED56B7" w:rsidRPr="009005FB" w:rsidRDefault="00ED56B7" w:rsidP="001149AD">
            <w:pPr>
              <w:widowControl/>
              <w:jc w:val="center"/>
              <w:rPr>
                <w:color w:val="000000"/>
                <w:szCs w:val="24"/>
              </w:rPr>
            </w:pPr>
            <w:r w:rsidRPr="009005FB">
              <w:rPr>
                <w:color w:val="000000"/>
                <w:szCs w:val="24"/>
              </w:rPr>
              <w:t>32</w:t>
            </w:r>
          </w:p>
        </w:tc>
        <w:tc>
          <w:tcPr>
            <w:tcW w:w="1559" w:type="dxa"/>
            <w:tcBorders>
              <w:top w:val="nil"/>
              <w:left w:val="nil"/>
              <w:bottom w:val="single" w:sz="4" w:space="0" w:color="auto"/>
              <w:right w:val="single" w:sz="4" w:space="0" w:color="auto"/>
            </w:tcBorders>
            <w:shd w:val="clear" w:color="auto" w:fill="auto"/>
            <w:noWrap/>
            <w:vAlign w:val="bottom"/>
            <w:hideMark/>
          </w:tcPr>
          <w:p w14:paraId="169A5D84" w14:textId="77777777" w:rsidR="00ED56B7" w:rsidRPr="009005FB" w:rsidRDefault="00ED56B7" w:rsidP="001149AD">
            <w:pPr>
              <w:widowControl/>
              <w:jc w:val="right"/>
              <w:rPr>
                <w:color w:val="000000"/>
                <w:szCs w:val="24"/>
              </w:rPr>
            </w:pPr>
            <w:r w:rsidRPr="009005FB">
              <w:rPr>
                <w:color w:val="000000"/>
                <w:szCs w:val="24"/>
              </w:rPr>
              <w:t>617499</w:t>
            </w:r>
          </w:p>
        </w:tc>
      </w:tr>
      <w:tr w:rsidR="00ED56B7" w:rsidRPr="009005FB" w14:paraId="2A134591"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60785F1A" w14:textId="77777777" w:rsidR="00ED56B7" w:rsidRPr="009005FB" w:rsidRDefault="00ED56B7" w:rsidP="001149AD">
            <w:pPr>
              <w:widowControl/>
              <w:rPr>
                <w:color w:val="000000"/>
                <w:szCs w:val="24"/>
              </w:rPr>
            </w:pPr>
            <w:r w:rsidRPr="009005FB">
              <w:rPr>
                <w:color w:val="000000"/>
                <w:szCs w:val="24"/>
              </w:rPr>
              <w:t>Netherlands</w:t>
            </w:r>
          </w:p>
        </w:tc>
        <w:tc>
          <w:tcPr>
            <w:tcW w:w="1337" w:type="dxa"/>
            <w:tcBorders>
              <w:top w:val="nil"/>
              <w:left w:val="nil"/>
              <w:bottom w:val="single" w:sz="8" w:space="0" w:color="auto"/>
              <w:right w:val="single" w:sz="8" w:space="0" w:color="auto"/>
            </w:tcBorders>
            <w:shd w:val="clear" w:color="auto" w:fill="auto"/>
            <w:vAlign w:val="center"/>
            <w:hideMark/>
          </w:tcPr>
          <w:p w14:paraId="04E54702" w14:textId="77777777" w:rsidR="00ED56B7" w:rsidRPr="009005FB" w:rsidRDefault="00ED56B7" w:rsidP="001149AD">
            <w:pPr>
              <w:widowControl/>
              <w:jc w:val="center"/>
              <w:rPr>
                <w:color w:val="000000"/>
                <w:szCs w:val="24"/>
              </w:rPr>
            </w:pPr>
            <w:r w:rsidRPr="009005FB">
              <w:rPr>
                <w:color w:val="000000"/>
                <w:szCs w:val="24"/>
              </w:rPr>
              <w:t>17235349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6AE1D40B" w14:textId="77777777" w:rsidR="00ED56B7" w:rsidRPr="009005FB" w:rsidRDefault="00ED56B7" w:rsidP="001149AD">
            <w:pPr>
              <w:widowControl/>
              <w:jc w:val="center"/>
              <w:rPr>
                <w:color w:val="000000"/>
                <w:szCs w:val="24"/>
              </w:rPr>
            </w:pPr>
            <w:r w:rsidRPr="009005FB">
              <w:rPr>
                <w:color w:val="000000"/>
                <w:szCs w:val="24"/>
              </w:rPr>
              <w:t>26</w:t>
            </w:r>
          </w:p>
        </w:tc>
        <w:tc>
          <w:tcPr>
            <w:tcW w:w="1673" w:type="dxa"/>
            <w:tcBorders>
              <w:top w:val="nil"/>
              <w:left w:val="nil"/>
              <w:bottom w:val="single" w:sz="4" w:space="0" w:color="auto"/>
              <w:right w:val="single" w:sz="4" w:space="0" w:color="auto"/>
            </w:tcBorders>
            <w:shd w:val="clear" w:color="auto" w:fill="auto"/>
            <w:noWrap/>
            <w:vAlign w:val="bottom"/>
            <w:hideMark/>
          </w:tcPr>
          <w:p w14:paraId="74908C4D" w14:textId="77777777" w:rsidR="00ED56B7" w:rsidRPr="009005FB" w:rsidRDefault="00ED56B7" w:rsidP="001149AD">
            <w:pPr>
              <w:widowControl/>
              <w:jc w:val="right"/>
              <w:rPr>
                <w:color w:val="000000"/>
                <w:szCs w:val="24"/>
              </w:rPr>
            </w:pPr>
            <w:r w:rsidRPr="009005FB">
              <w:rPr>
                <w:color w:val="000000"/>
                <w:szCs w:val="24"/>
              </w:rPr>
              <w:t>662898</w:t>
            </w:r>
          </w:p>
        </w:tc>
        <w:tc>
          <w:tcPr>
            <w:tcW w:w="1470" w:type="dxa"/>
            <w:tcBorders>
              <w:top w:val="nil"/>
              <w:left w:val="nil"/>
              <w:bottom w:val="single" w:sz="4" w:space="0" w:color="auto"/>
              <w:right w:val="single" w:sz="4" w:space="0" w:color="auto"/>
            </w:tcBorders>
            <w:shd w:val="clear" w:color="auto" w:fill="auto"/>
            <w:vAlign w:val="center"/>
            <w:hideMark/>
          </w:tcPr>
          <w:p w14:paraId="68634BCC" w14:textId="77777777" w:rsidR="00ED56B7" w:rsidRPr="009005FB" w:rsidRDefault="00ED56B7" w:rsidP="001149AD">
            <w:pPr>
              <w:widowControl/>
              <w:jc w:val="center"/>
              <w:rPr>
                <w:color w:val="000000"/>
                <w:szCs w:val="24"/>
              </w:rPr>
            </w:pPr>
            <w:r w:rsidRPr="009005FB">
              <w:rPr>
                <w:color w:val="000000"/>
                <w:szCs w:val="24"/>
              </w:rPr>
              <w:t>28</w:t>
            </w:r>
          </w:p>
        </w:tc>
        <w:tc>
          <w:tcPr>
            <w:tcW w:w="1559" w:type="dxa"/>
            <w:tcBorders>
              <w:top w:val="nil"/>
              <w:left w:val="nil"/>
              <w:bottom w:val="single" w:sz="4" w:space="0" w:color="auto"/>
              <w:right w:val="single" w:sz="4" w:space="0" w:color="auto"/>
            </w:tcBorders>
            <w:shd w:val="clear" w:color="auto" w:fill="auto"/>
            <w:noWrap/>
            <w:vAlign w:val="bottom"/>
            <w:hideMark/>
          </w:tcPr>
          <w:p w14:paraId="445FCB9E" w14:textId="77777777" w:rsidR="00ED56B7" w:rsidRPr="009005FB" w:rsidRDefault="00ED56B7" w:rsidP="001149AD">
            <w:pPr>
              <w:widowControl/>
              <w:jc w:val="right"/>
              <w:rPr>
                <w:color w:val="000000"/>
                <w:szCs w:val="24"/>
              </w:rPr>
            </w:pPr>
            <w:r w:rsidRPr="009005FB">
              <w:rPr>
                <w:color w:val="000000"/>
                <w:szCs w:val="24"/>
              </w:rPr>
              <w:t>615548</w:t>
            </w:r>
          </w:p>
        </w:tc>
      </w:tr>
      <w:tr w:rsidR="00ED56B7" w:rsidRPr="009005FB" w14:paraId="0024AF1B"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406084FF" w14:textId="77777777" w:rsidR="00ED56B7" w:rsidRPr="009005FB" w:rsidRDefault="00ED56B7" w:rsidP="001149AD">
            <w:pPr>
              <w:widowControl/>
              <w:rPr>
                <w:color w:val="000000"/>
                <w:szCs w:val="24"/>
              </w:rPr>
            </w:pPr>
            <w:r w:rsidRPr="009005FB">
              <w:rPr>
                <w:color w:val="000000"/>
                <w:szCs w:val="24"/>
              </w:rPr>
              <w:t>Belgium</w:t>
            </w:r>
          </w:p>
        </w:tc>
        <w:tc>
          <w:tcPr>
            <w:tcW w:w="1337" w:type="dxa"/>
            <w:tcBorders>
              <w:top w:val="nil"/>
              <w:left w:val="nil"/>
              <w:bottom w:val="single" w:sz="8" w:space="0" w:color="auto"/>
              <w:right w:val="single" w:sz="8" w:space="0" w:color="auto"/>
            </w:tcBorders>
            <w:shd w:val="clear" w:color="auto" w:fill="auto"/>
            <w:vAlign w:val="center"/>
            <w:hideMark/>
          </w:tcPr>
          <w:p w14:paraId="51DB02C0" w14:textId="77777777" w:rsidR="00ED56B7" w:rsidRPr="009005FB" w:rsidRDefault="00ED56B7" w:rsidP="001149AD">
            <w:pPr>
              <w:widowControl/>
              <w:jc w:val="center"/>
              <w:rPr>
                <w:color w:val="000000"/>
                <w:szCs w:val="24"/>
              </w:rPr>
            </w:pPr>
            <w:r w:rsidRPr="009005FB">
              <w:rPr>
                <w:color w:val="000000"/>
                <w:szCs w:val="24"/>
              </w:rPr>
              <w:t>11289853</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5A0570F7" w14:textId="77777777" w:rsidR="00ED56B7" w:rsidRPr="009005FB" w:rsidRDefault="00ED56B7" w:rsidP="001149AD">
            <w:pPr>
              <w:widowControl/>
              <w:jc w:val="center"/>
              <w:rPr>
                <w:color w:val="000000"/>
                <w:szCs w:val="24"/>
              </w:rPr>
            </w:pPr>
            <w:r w:rsidRPr="009005FB">
              <w:rPr>
                <w:color w:val="000000"/>
                <w:szCs w:val="24"/>
              </w:rPr>
              <w:t>21</w:t>
            </w:r>
          </w:p>
        </w:tc>
        <w:tc>
          <w:tcPr>
            <w:tcW w:w="1673" w:type="dxa"/>
            <w:tcBorders>
              <w:top w:val="nil"/>
              <w:left w:val="nil"/>
              <w:bottom w:val="single" w:sz="4" w:space="0" w:color="auto"/>
              <w:right w:val="single" w:sz="4" w:space="0" w:color="auto"/>
            </w:tcBorders>
            <w:shd w:val="clear" w:color="auto" w:fill="auto"/>
            <w:noWrap/>
            <w:vAlign w:val="bottom"/>
            <w:hideMark/>
          </w:tcPr>
          <w:p w14:paraId="1DCB9F2E" w14:textId="77777777" w:rsidR="00ED56B7" w:rsidRPr="009005FB" w:rsidRDefault="00ED56B7" w:rsidP="001149AD">
            <w:pPr>
              <w:widowControl/>
              <w:jc w:val="right"/>
              <w:rPr>
                <w:color w:val="000000"/>
                <w:szCs w:val="24"/>
              </w:rPr>
            </w:pPr>
            <w:r w:rsidRPr="009005FB">
              <w:rPr>
                <w:color w:val="000000"/>
                <w:szCs w:val="24"/>
              </w:rPr>
              <w:t>537612</w:t>
            </w:r>
          </w:p>
        </w:tc>
        <w:tc>
          <w:tcPr>
            <w:tcW w:w="1470" w:type="dxa"/>
            <w:tcBorders>
              <w:top w:val="nil"/>
              <w:left w:val="nil"/>
              <w:bottom w:val="single" w:sz="4" w:space="0" w:color="auto"/>
              <w:right w:val="single" w:sz="4" w:space="0" w:color="auto"/>
            </w:tcBorders>
            <w:shd w:val="clear" w:color="auto" w:fill="auto"/>
            <w:vAlign w:val="center"/>
            <w:hideMark/>
          </w:tcPr>
          <w:p w14:paraId="27A66D52" w14:textId="77777777" w:rsidR="00ED56B7" w:rsidRPr="009005FB" w:rsidRDefault="00ED56B7" w:rsidP="001149AD">
            <w:pPr>
              <w:widowControl/>
              <w:jc w:val="center"/>
              <w:rPr>
                <w:color w:val="000000"/>
                <w:szCs w:val="24"/>
              </w:rPr>
            </w:pPr>
            <w:r w:rsidRPr="009005FB">
              <w:rPr>
                <w:color w:val="000000"/>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14:paraId="36BCB2D0" w14:textId="77777777" w:rsidR="00ED56B7" w:rsidRPr="009005FB" w:rsidRDefault="00ED56B7" w:rsidP="001149AD">
            <w:pPr>
              <w:widowControl/>
              <w:jc w:val="right"/>
              <w:rPr>
                <w:color w:val="000000"/>
                <w:szCs w:val="24"/>
              </w:rPr>
            </w:pPr>
            <w:r w:rsidRPr="009005FB">
              <w:rPr>
                <w:color w:val="000000"/>
                <w:szCs w:val="24"/>
              </w:rPr>
              <w:t>537612</w:t>
            </w:r>
          </w:p>
        </w:tc>
      </w:tr>
      <w:tr w:rsidR="00ED56B7" w:rsidRPr="009005FB" w14:paraId="0D210B39"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1A5E549C" w14:textId="77777777" w:rsidR="00ED56B7" w:rsidRPr="009005FB" w:rsidRDefault="00ED56B7" w:rsidP="001149AD">
            <w:pPr>
              <w:widowControl/>
              <w:rPr>
                <w:color w:val="000000"/>
                <w:szCs w:val="24"/>
              </w:rPr>
            </w:pPr>
            <w:r w:rsidRPr="009005FB">
              <w:rPr>
                <w:color w:val="000000"/>
                <w:szCs w:val="24"/>
              </w:rPr>
              <w:t>Greece</w:t>
            </w:r>
          </w:p>
        </w:tc>
        <w:tc>
          <w:tcPr>
            <w:tcW w:w="1337" w:type="dxa"/>
            <w:tcBorders>
              <w:top w:val="nil"/>
              <w:left w:val="nil"/>
              <w:bottom w:val="single" w:sz="8" w:space="0" w:color="auto"/>
              <w:right w:val="single" w:sz="8" w:space="0" w:color="auto"/>
            </w:tcBorders>
            <w:shd w:val="clear" w:color="auto" w:fill="auto"/>
            <w:vAlign w:val="center"/>
            <w:hideMark/>
          </w:tcPr>
          <w:p w14:paraId="2FE0A82F" w14:textId="77777777" w:rsidR="00ED56B7" w:rsidRPr="009005FB" w:rsidRDefault="00ED56B7" w:rsidP="001149AD">
            <w:pPr>
              <w:widowControl/>
              <w:jc w:val="center"/>
              <w:rPr>
                <w:color w:val="000000"/>
                <w:szCs w:val="24"/>
              </w:rPr>
            </w:pPr>
            <w:r w:rsidRPr="009005FB">
              <w:rPr>
                <w:color w:val="000000"/>
                <w:szCs w:val="24"/>
              </w:rPr>
              <w:t>10793526</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58A0EE2B" w14:textId="77777777" w:rsidR="00ED56B7" w:rsidRPr="009005FB" w:rsidRDefault="00ED56B7" w:rsidP="001149AD">
            <w:pPr>
              <w:widowControl/>
              <w:jc w:val="center"/>
              <w:rPr>
                <w:color w:val="000000"/>
                <w:szCs w:val="24"/>
              </w:rPr>
            </w:pPr>
            <w:r w:rsidRPr="009005FB">
              <w:rPr>
                <w:color w:val="000000"/>
                <w:szCs w:val="24"/>
              </w:rPr>
              <w:t>21</w:t>
            </w:r>
          </w:p>
        </w:tc>
        <w:tc>
          <w:tcPr>
            <w:tcW w:w="1673" w:type="dxa"/>
            <w:tcBorders>
              <w:top w:val="nil"/>
              <w:left w:val="nil"/>
              <w:bottom w:val="single" w:sz="4" w:space="0" w:color="auto"/>
              <w:right w:val="single" w:sz="4" w:space="0" w:color="auto"/>
            </w:tcBorders>
            <w:shd w:val="clear" w:color="auto" w:fill="auto"/>
            <w:noWrap/>
            <w:vAlign w:val="bottom"/>
            <w:hideMark/>
          </w:tcPr>
          <w:p w14:paraId="30DDC489" w14:textId="77777777" w:rsidR="00ED56B7" w:rsidRPr="009005FB" w:rsidRDefault="00ED56B7" w:rsidP="001149AD">
            <w:pPr>
              <w:widowControl/>
              <w:jc w:val="right"/>
              <w:rPr>
                <w:color w:val="000000"/>
                <w:szCs w:val="24"/>
              </w:rPr>
            </w:pPr>
            <w:r w:rsidRPr="009005FB">
              <w:rPr>
                <w:color w:val="000000"/>
                <w:szCs w:val="24"/>
              </w:rPr>
              <w:t>513977</w:t>
            </w:r>
          </w:p>
        </w:tc>
        <w:tc>
          <w:tcPr>
            <w:tcW w:w="1470" w:type="dxa"/>
            <w:tcBorders>
              <w:top w:val="nil"/>
              <w:left w:val="nil"/>
              <w:bottom w:val="single" w:sz="4" w:space="0" w:color="auto"/>
              <w:right w:val="single" w:sz="4" w:space="0" w:color="auto"/>
            </w:tcBorders>
            <w:shd w:val="clear" w:color="auto" w:fill="auto"/>
            <w:vAlign w:val="center"/>
            <w:hideMark/>
          </w:tcPr>
          <w:p w14:paraId="46C9783D" w14:textId="77777777" w:rsidR="00ED56B7" w:rsidRPr="009005FB" w:rsidRDefault="00ED56B7" w:rsidP="001149AD">
            <w:pPr>
              <w:widowControl/>
              <w:jc w:val="center"/>
              <w:rPr>
                <w:color w:val="000000"/>
                <w:szCs w:val="24"/>
              </w:rPr>
            </w:pPr>
            <w:r w:rsidRPr="009005FB">
              <w:rPr>
                <w:color w:val="000000"/>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14:paraId="3A16860A" w14:textId="77777777" w:rsidR="00ED56B7" w:rsidRPr="009005FB" w:rsidRDefault="00ED56B7" w:rsidP="001149AD">
            <w:pPr>
              <w:widowControl/>
              <w:jc w:val="right"/>
              <w:rPr>
                <w:color w:val="000000"/>
                <w:szCs w:val="24"/>
              </w:rPr>
            </w:pPr>
            <w:r w:rsidRPr="009005FB">
              <w:rPr>
                <w:color w:val="000000"/>
                <w:szCs w:val="24"/>
              </w:rPr>
              <w:t>513977</w:t>
            </w:r>
          </w:p>
        </w:tc>
      </w:tr>
      <w:tr w:rsidR="00ED56B7" w:rsidRPr="009005FB" w14:paraId="4D9C10A1" w14:textId="77777777" w:rsidTr="001149AD">
        <w:trPr>
          <w:trHeight w:val="247"/>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47B8382A" w14:textId="77777777" w:rsidR="00ED56B7" w:rsidRPr="009005FB" w:rsidRDefault="00ED56B7" w:rsidP="001149AD">
            <w:pPr>
              <w:widowControl/>
              <w:rPr>
                <w:color w:val="000000"/>
                <w:szCs w:val="24"/>
              </w:rPr>
            </w:pPr>
            <w:r w:rsidRPr="009005FB">
              <w:rPr>
                <w:color w:val="000000"/>
                <w:szCs w:val="24"/>
              </w:rPr>
              <w:t>Czech Republic</w:t>
            </w:r>
          </w:p>
        </w:tc>
        <w:tc>
          <w:tcPr>
            <w:tcW w:w="1337" w:type="dxa"/>
            <w:tcBorders>
              <w:top w:val="nil"/>
              <w:left w:val="nil"/>
              <w:bottom w:val="single" w:sz="8" w:space="0" w:color="auto"/>
              <w:right w:val="single" w:sz="8" w:space="0" w:color="auto"/>
            </w:tcBorders>
            <w:shd w:val="clear" w:color="auto" w:fill="auto"/>
            <w:vAlign w:val="center"/>
            <w:hideMark/>
          </w:tcPr>
          <w:p w14:paraId="014F6E6A" w14:textId="77777777" w:rsidR="00ED56B7" w:rsidRPr="009005FB" w:rsidRDefault="00ED56B7" w:rsidP="001149AD">
            <w:pPr>
              <w:widowControl/>
              <w:jc w:val="center"/>
              <w:rPr>
                <w:color w:val="000000"/>
                <w:szCs w:val="24"/>
              </w:rPr>
            </w:pPr>
            <w:r w:rsidRPr="009005FB">
              <w:rPr>
                <w:color w:val="000000"/>
                <w:szCs w:val="24"/>
              </w:rPr>
              <w:t>10445783</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5F4B931A" w14:textId="77777777" w:rsidR="00ED56B7" w:rsidRPr="009005FB" w:rsidRDefault="00ED56B7" w:rsidP="001149AD">
            <w:pPr>
              <w:widowControl/>
              <w:jc w:val="center"/>
              <w:rPr>
                <w:color w:val="000000"/>
                <w:szCs w:val="24"/>
              </w:rPr>
            </w:pPr>
            <w:r w:rsidRPr="009005FB">
              <w:rPr>
                <w:color w:val="000000"/>
                <w:szCs w:val="24"/>
              </w:rPr>
              <w:t>21</w:t>
            </w:r>
          </w:p>
        </w:tc>
        <w:tc>
          <w:tcPr>
            <w:tcW w:w="1673" w:type="dxa"/>
            <w:tcBorders>
              <w:top w:val="nil"/>
              <w:left w:val="nil"/>
              <w:bottom w:val="single" w:sz="4" w:space="0" w:color="auto"/>
              <w:right w:val="single" w:sz="4" w:space="0" w:color="auto"/>
            </w:tcBorders>
            <w:shd w:val="clear" w:color="auto" w:fill="auto"/>
            <w:noWrap/>
            <w:vAlign w:val="bottom"/>
            <w:hideMark/>
          </w:tcPr>
          <w:p w14:paraId="715727EE" w14:textId="77777777" w:rsidR="00ED56B7" w:rsidRPr="009005FB" w:rsidRDefault="00ED56B7" w:rsidP="001149AD">
            <w:pPr>
              <w:widowControl/>
              <w:jc w:val="right"/>
              <w:rPr>
                <w:color w:val="000000"/>
                <w:szCs w:val="24"/>
              </w:rPr>
            </w:pPr>
            <w:r w:rsidRPr="009005FB">
              <w:rPr>
                <w:color w:val="000000"/>
                <w:szCs w:val="24"/>
              </w:rPr>
              <w:t>497418</w:t>
            </w:r>
          </w:p>
        </w:tc>
        <w:tc>
          <w:tcPr>
            <w:tcW w:w="1470" w:type="dxa"/>
            <w:tcBorders>
              <w:top w:val="nil"/>
              <w:left w:val="nil"/>
              <w:bottom w:val="single" w:sz="4" w:space="0" w:color="auto"/>
              <w:right w:val="single" w:sz="4" w:space="0" w:color="auto"/>
            </w:tcBorders>
            <w:shd w:val="clear" w:color="auto" w:fill="auto"/>
            <w:vAlign w:val="center"/>
            <w:hideMark/>
          </w:tcPr>
          <w:p w14:paraId="37A3D8D0" w14:textId="77777777" w:rsidR="00ED56B7" w:rsidRPr="009005FB" w:rsidRDefault="00ED56B7" w:rsidP="001149AD">
            <w:pPr>
              <w:widowControl/>
              <w:jc w:val="center"/>
              <w:rPr>
                <w:color w:val="000000"/>
                <w:szCs w:val="24"/>
              </w:rPr>
            </w:pPr>
            <w:r w:rsidRPr="009005FB">
              <w:rPr>
                <w:color w:val="000000"/>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14:paraId="23C16713" w14:textId="77777777" w:rsidR="00ED56B7" w:rsidRPr="009005FB" w:rsidRDefault="00ED56B7" w:rsidP="001149AD">
            <w:pPr>
              <w:widowControl/>
              <w:jc w:val="right"/>
              <w:rPr>
                <w:color w:val="000000"/>
                <w:szCs w:val="24"/>
              </w:rPr>
            </w:pPr>
            <w:r w:rsidRPr="009005FB">
              <w:rPr>
                <w:color w:val="000000"/>
                <w:szCs w:val="24"/>
              </w:rPr>
              <w:t>497418</w:t>
            </w:r>
          </w:p>
        </w:tc>
      </w:tr>
      <w:tr w:rsidR="00ED56B7" w:rsidRPr="009005FB" w14:paraId="4C038CF8"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7736CA53" w14:textId="77777777" w:rsidR="00ED56B7" w:rsidRPr="009005FB" w:rsidRDefault="00ED56B7" w:rsidP="001149AD">
            <w:pPr>
              <w:widowControl/>
              <w:rPr>
                <w:color w:val="000000"/>
                <w:szCs w:val="24"/>
              </w:rPr>
            </w:pPr>
            <w:r w:rsidRPr="009005FB">
              <w:rPr>
                <w:color w:val="000000"/>
                <w:szCs w:val="24"/>
              </w:rPr>
              <w:t>Portugal</w:t>
            </w:r>
          </w:p>
        </w:tc>
        <w:tc>
          <w:tcPr>
            <w:tcW w:w="1337" w:type="dxa"/>
            <w:tcBorders>
              <w:top w:val="nil"/>
              <w:left w:val="nil"/>
              <w:bottom w:val="single" w:sz="8" w:space="0" w:color="auto"/>
              <w:right w:val="single" w:sz="8" w:space="0" w:color="auto"/>
            </w:tcBorders>
            <w:shd w:val="clear" w:color="auto" w:fill="auto"/>
            <w:vAlign w:val="center"/>
            <w:hideMark/>
          </w:tcPr>
          <w:p w14:paraId="0BFCCA31" w14:textId="77777777" w:rsidR="00ED56B7" w:rsidRPr="009005FB" w:rsidRDefault="00ED56B7" w:rsidP="001149AD">
            <w:pPr>
              <w:widowControl/>
              <w:jc w:val="center"/>
              <w:rPr>
                <w:color w:val="000000"/>
                <w:szCs w:val="24"/>
              </w:rPr>
            </w:pPr>
            <w:r w:rsidRPr="009005FB">
              <w:rPr>
                <w:color w:val="000000"/>
                <w:szCs w:val="24"/>
              </w:rPr>
              <w:t>10341330</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7BE56CF9" w14:textId="77777777" w:rsidR="00ED56B7" w:rsidRPr="009005FB" w:rsidRDefault="00ED56B7" w:rsidP="001149AD">
            <w:pPr>
              <w:widowControl/>
              <w:jc w:val="center"/>
              <w:rPr>
                <w:color w:val="000000"/>
                <w:szCs w:val="24"/>
              </w:rPr>
            </w:pPr>
            <w:r w:rsidRPr="009005FB">
              <w:rPr>
                <w:color w:val="000000"/>
                <w:szCs w:val="24"/>
              </w:rPr>
              <w:t>21</w:t>
            </w:r>
          </w:p>
        </w:tc>
        <w:tc>
          <w:tcPr>
            <w:tcW w:w="1673" w:type="dxa"/>
            <w:tcBorders>
              <w:top w:val="nil"/>
              <w:left w:val="nil"/>
              <w:bottom w:val="single" w:sz="4" w:space="0" w:color="auto"/>
              <w:right w:val="single" w:sz="4" w:space="0" w:color="auto"/>
            </w:tcBorders>
            <w:shd w:val="clear" w:color="auto" w:fill="auto"/>
            <w:noWrap/>
            <w:vAlign w:val="bottom"/>
            <w:hideMark/>
          </w:tcPr>
          <w:p w14:paraId="2B928EFC" w14:textId="77777777" w:rsidR="00ED56B7" w:rsidRPr="009005FB" w:rsidRDefault="00ED56B7" w:rsidP="001149AD">
            <w:pPr>
              <w:widowControl/>
              <w:jc w:val="right"/>
              <w:rPr>
                <w:color w:val="000000"/>
                <w:szCs w:val="24"/>
              </w:rPr>
            </w:pPr>
            <w:r w:rsidRPr="009005FB">
              <w:rPr>
                <w:color w:val="000000"/>
                <w:szCs w:val="24"/>
              </w:rPr>
              <w:t>492444</w:t>
            </w:r>
          </w:p>
        </w:tc>
        <w:tc>
          <w:tcPr>
            <w:tcW w:w="1470" w:type="dxa"/>
            <w:tcBorders>
              <w:top w:val="nil"/>
              <w:left w:val="nil"/>
              <w:bottom w:val="single" w:sz="4" w:space="0" w:color="auto"/>
              <w:right w:val="single" w:sz="4" w:space="0" w:color="auto"/>
            </w:tcBorders>
            <w:shd w:val="clear" w:color="auto" w:fill="auto"/>
            <w:vAlign w:val="center"/>
            <w:hideMark/>
          </w:tcPr>
          <w:p w14:paraId="30841D35" w14:textId="77777777" w:rsidR="00ED56B7" w:rsidRPr="009005FB" w:rsidRDefault="00ED56B7" w:rsidP="001149AD">
            <w:pPr>
              <w:widowControl/>
              <w:jc w:val="center"/>
              <w:rPr>
                <w:color w:val="000000"/>
                <w:szCs w:val="24"/>
              </w:rPr>
            </w:pPr>
            <w:r w:rsidRPr="009005FB">
              <w:rPr>
                <w:color w:val="000000"/>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14:paraId="576154EB" w14:textId="77777777" w:rsidR="00ED56B7" w:rsidRPr="009005FB" w:rsidRDefault="00ED56B7" w:rsidP="001149AD">
            <w:pPr>
              <w:widowControl/>
              <w:jc w:val="right"/>
              <w:rPr>
                <w:color w:val="000000"/>
                <w:szCs w:val="24"/>
              </w:rPr>
            </w:pPr>
            <w:r w:rsidRPr="009005FB">
              <w:rPr>
                <w:color w:val="000000"/>
                <w:szCs w:val="24"/>
              </w:rPr>
              <w:t>492444</w:t>
            </w:r>
          </w:p>
        </w:tc>
      </w:tr>
      <w:tr w:rsidR="00ED56B7" w:rsidRPr="009005FB" w14:paraId="318AC74C"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3F43D884" w14:textId="77777777" w:rsidR="00ED56B7" w:rsidRPr="009005FB" w:rsidRDefault="00ED56B7" w:rsidP="001149AD">
            <w:pPr>
              <w:widowControl/>
              <w:rPr>
                <w:color w:val="000000"/>
                <w:szCs w:val="24"/>
              </w:rPr>
            </w:pPr>
            <w:r w:rsidRPr="009005FB">
              <w:rPr>
                <w:color w:val="000000"/>
                <w:szCs w:val="24"/>
              </w:rPr>
              <w:t>Hungary</w:t>
            </w:r>
          </w:p>
        </w:tc>
        <w:tc>
          <w:tcPr>
            <w:tcW w:w="1337" w:type="dxa"/>
            <w:tcBorders>
              <w:top w:val="nil"/>
              <w:left w:val="nil"/>
              <w:bottom w:val="single" w:sz="8" w:space="0" w:color="auto"/>
              <w:right w:val="single" w:sz="8" w:space="0" w:color="auto"/>
            </w:tcBorders>
            <w:shd w:val="clear" w:color="auto" w:fill="auto"/>
            <w:vAlign w:val="center"/>
            <w:hideMark/>
          </w:tcPr>
          <w:p w14:paraId="28D6124D" w14:textId="77777777" w:rsidR="00ED56B7" w:rsidRPr="009005FB" w:rsidRDefault="00ED56B7" w:rsidP="001149AD">
            <w:pPr>
              <w:widowControl/>
              <w:jc w:val="center"/>
              <w:rPr>
                <w:color w:val="000000"/>
                <w:szCs w:val="24"/>
              </w:rPr>
            </w:pPr>
            <w:r w:rsidRPr="009005FB">
              <w:rPr>
                <w:color w:val="000000"/>
                <w:szCs w:val="24"/>
              </w:rPr>
              <w:t>9830485</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3788DF5A" w14:textId="77777777" w:rsidR="00ED56B7" w:rsidRPr="009005FB" w:rsidRDefault="00ED56B7" w:rsidP="001149AD">
            <w:pPr>
              <w:widowControl/>
              <w:jc w:val="center"/>
              <w:rPr>
                <w:color w:val="000000"/>
                <w:szCs w:val="24"/>
              </w:rPr>
            </w:pPr>
            <w:r w:rsidRPr="009005FB">
              <w:rPr>
                <w:color w:val="000000"/>
                <w:szCs w:val="24"/>
              </w:rPr>
              <w:t>21</w:t>
            </w:r>
          </w:p>
        </w:tc>
        <w:tc>
          <w:tcPr>
            <w:tcW w:w="1673" w:type="dxa"/>
            <w:tcBorders>
              <w:top w:val="nil"/>
              <w:left w:val="nil"/>
              <w:bottom w:val="single" w:sz="4" w:space="0" w:color="auto"/>
              <w:right w:val="single" w:sz="4" w:space="0" w:color="auto"/>
            </w:tcBorders>
            <w:shd w:val="clear" w:color="auto" w:fill="auto"/>
            <w:noWrap/>
            <w:vAlign w:val="bottom"/>
            <w:hideMark/>
          </w:tcPr>
          <w:p w14:paraId="18ED4F32" w14:textId="77777777" w:rsidR="00ED56B7" w:rsidRPr="009005FB" w:rsidRDefault="00ED56B7" w:rsidP="001149AD">
            <w:pPr>
              <w:widowControl/>
              <w:jc w:val="right"/>
              <w:rPr>
                <w:color w:val="000000"/>
                <w:szCs w:val="24"/>
              </w:rPr>
            </w:pPr>
            <w:r w:rsidRPr="009005FB">
              <w:rPr>
                <w:color w:val="000000"/>
                <w:szCs w:val="24"/>
              </w:rPr>
              <w:t>468118</w:t>
            </w:r>
          </w:p>
        </w:tc>
        <w:tc>
          <w:tcPr>
            <w:tcW w:w="1470" w:type="dxa"/>
            <w:tcBorders>
              <w:top w:val="nil"/>
              <w:left w:val="nil"/>
              <w:bottom w:val="single" w:sz="4" w:space="0" w:color="auto"/>
              <w:right w:val="single" w:sz="4" w:space="0" w:color="auto"/>
            </w:tcBorders>
            <w:shd w:val="clear" w:color="auto" w:fill="auto"/>
            <w:vAlign w:val="center"/>
            <w:hideMark/>
          </w:tcPr>
          <w:p w14:paraId="63040049" w14:textId="77777777" w:rsidR="00ED56B7" w:rsidRPr="009005FB" w:rsidRDefault="00ED56B7" w:rsidP="001149AD">
            <w:pPr>
              <w:widowControl/>
              <w:jc w:val="center"/>
              <w:rPr>
                <w:color w:val="000000"/>
                <w:szCs w:val="24"/>
              </w:rPr>
            </w:pPr>
            <w:r w:rsidRPr="009005FB">
              <w:rPr>
                <w:color w:val="000000"/>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14:paraId="2B8BE988" w14:textId="77777777" w:rsidR="00ED56B7" w:rsidRPr="009005FB" w:rsidRDefault="00ED56B7" w:rsidP="001149AD">
            <w:pPr>
              <w:widowControl/>
              <w:jc w:val="right"/>
              <w:rPr>
                <w:color w:val="000000"/>
                <w:szCs w:val="24"/>
              </w:rPr>
            </w:pPr>
            <w:r w:rsidRPr="009005FB">
              <w:rPr>
                <w:color w:val="000000"/>
                <w:szCs w:val="24"/>
              </w:rPr>
              <w:t>468118</w:t>
            </w:r>
          </w:p>
        </w:tc>
      </w:tr>
      <w:tr w:rsidR="00ED56B7" w:rsidRPr="009005FB" w14:paraId="58A4142E"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340C6DA0" w14:textId="77777777" w:rsidR="00ED56B7" w:rsidRPr="009005FB" w:rsidRDefault="00ED56B7" w:rsidP="001149AD">
            <w:pPr>
              <w:widowControl/>
              <w:rPr>
                <w:color w:val="000000"/>
                <w:szCs w:val="24"/>
              </w:rPr>
            </w:pPr>
            <w:r w:rsidRPr="009005FB">
              <w:rPr>
                <w:color w:val="000000"/>
                <w:szCs w:val="24"/>
              </w:rPr>
              <w:t>Sweden</w:t>
            </w:r>
          </w:p>
        </w:tc>
        <w:tc>
          <w:tcPr>
            <w:tcW w:w="1337" w:type="dxa"/>
            <w:tcBorders>
              <w:top w:val="nil"/>
              <w:left w:val="nil"/>
              <w:bottom w:val="single" w:sz="8" w:space="0" w:color="auto"/>
              <w:right w:val="single" w:sz="8" w:space="0" w:color="auto"/>
            </w:tcBorders>
            <w:shd w:val="clear" w:color="auto" w:fill="auto"/>
            <w:vAlign w:val="center"/>
            <w:hideMark/>
          </w:tcPr>
          <w:p w14:paraId="5BD663BF" w14:textId="77777777" w:rsidR="00ED56B7" w:rsidRPr="009005FB" w:rsidRDefault="00ED56B7" w:rsidP="001149AD">
            <w:pPr>
              <w:widowControl/>
              <w:jc w:val="center"/>
              <w:rPr>
                <w:color w:val="000000"/>
                <w:szCs w:val="24"/>
              </w:rPr>
            </w:pPr>
            <w:r w:rsidRPr="009005FB">
              <w:rPr>
                <w:color w:val="000000"/>
                <w:szCs w:val="24"/>
              </w:rPr>
              <w:t>9998000</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4ABD814F" w14:textId="77777777" w:rsidR="00ED56B7" w:rsidRPr="009005FB" w:rsidRDefault="00ED56B7" w:rsidP="001149AD">
            <w:pPr>
              <w:widowControl/>
              <w:jc w:val="center"/>
              <w:rPr>
                <w:color w:val="000000"/>
                <w:szCs w:val="24"/>
              </w:rPr>
            </w:pPr>
            <w:r w:rsidRPr="009005FB">
              <w:rPr>
                <w:color w:val="000000"/>
                <w:szCs w:val="24"/>
              </w:rPr>
              <w:t>20</w:t>
            </w:r>
          </w:p>
        </w:tc>
        <w:tc>
          <w:tcPr>
            <w:tcW w:w="1673" w:type="dxa"/>
            <w:tcBorders>
              <w:top w:val="nil"/>
              <w:left w:val="nil"/>
              <w:bottom w:val="single" w:sz="4" w:space="0" w:color="auto"/>
              <w:right w:val="single" w:sz="4" w:space="0" w:color="auto"/>
            </w:tcBorders>
            <w:shd w:val="clear" w:color="auto" w:fill="auto"/>
            <w:noWrap/>
            <w:vAlign w:val="bottom"/>
            <w:hideMark/>
          </w:tcPr>
          <w:p w14:paraId="63169541" w14:textId="77777777" w:rsidR="00ED56B7" w:rsidRPr="009005FB" w:rsidRDefault="00ED56B7" w:rsidP="001149AD">
            <w:pPr>
              <w:widowControl/>
              <w:jc w:val="right"/>
              <w:rPr>
                <w:color w:val="000000"/>
                <w:szCs w:val="24"/>
              </w:rPr>
            </w:pPr>
            <w:r w:rsidRPr="009005FB">
              <w:rPr>
                <w:color w:val="000000"/>
                <w:szCs w:val="24"/>
              </w:rPr>
              <w:t>499900</w:t>
            </w:r>
          </w:p>
        </w:tc>
        <w:tc>
          <w:tcPr>
            <w:tcW w:w="1470" w:type="dxa"/>
            <w:tcBorders>
              <w:top w:val="nil"/>
              <w:left w:val="nil"/>
              <w:bottom w:val="single" w:sz="4" w:space="0" w:color="auto"/>
              <w:right w:val="single" w:sz="4" w:space="0" w:color="auto"/>
            </w:tcBorders>
            <w:shd w:val="clear" w:color="auto" w:fill="auto"/>
            <w:vAlign w:val="center"/>
            <w:hideMark/>
          </w:tcPr>
          <w:p w14:paraId="7468CB7B" w14:textId="77777777" w:rsidR="00ED56B7" w:rsidRPr="009005FB" w:rsidRDefault="00ED56B7" w:rsidP="001149AD">
            <w:pPr>
              <w:widowControl/>
              <w:jc w:val="center"/>
              <w:rPr>
                <w:color w:val="000000"/>
                <w:szCs w:val="24"/>
              </w:rPr>
            </w:pPr>
            <w:r w:rsidRPr="009005FB">
              <w:rPr>
                <w:color w:val="000000"/>
                <w:szCs w:val="24"/>
              </w:rPr>
              <w:t>21</w:t>
            </w:r>
          </w:p>
        </w:tc>
        <w:tc>
          <w:tcPr>
            <w:tcW w:w="1559" w:type="dxa"/>
            <w:tcBorders>
              <w:top w:val="nil"/>
              <w:left w:val="nil"/>
              <w:bottom w:val="single" w:sz="4" w:space="0" w:color="auto"/>
              <w:right w:val="single" w:sz="4" w:space="0" w:color="auto"/>
            </w:tcBorders>
            <w:shd w:val="clear" w:color="auto" w:fill="auto"/>
            <w:noWrap/>
            <w:vAlign w:val="bottom"/>
            <w:hideMark/>
          </w:tcPr>
          <w:p w14:paraId="73532AF6" w14:textId="77777777" w:rsidR="00ED56B7" w:rsidRPr="009005FB" w:rsidRDefault="00ED56B7" w:rsidP="001149AD">
            <w:pPr>
              <w:widowControl/>
              <w:jc w:val="right"/>
              <w:rPr>
                <w:color w:val="000000"/>
                <w:szCs w:val="24"/>
              </w:rPr>
            </w:pPr>
            <w:r w:rsidRPr="009005FB">
              <w:rPr>
                <w:color w:val="000000"/>
                <w:szCs w:val="24"/>
              </w:rPr>
              <w:t>476095</w:t>
            </w:r>
          </w:p>
        </w:tc>
      </w:tr>
      <w:tr w:rsidR="00ED56B7" w:rsidRPr="009005FB" w14:paraId="59EAE639"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29A70972" w14:textId="77777777" w:rsidR="00ED56B7" w:rsidRPr="009005FB" w:rsidRDefault="00ED56B7" w:rsidP="001149AD">
            <w:pPr>
              <w:widowControl/>
              <w:rPr>
                <w:color w:val="000000"/>
                <w:szCs w:val="24"/>
              </w:rPr>
            </w:pPr>
            <w:r w:rsidRPr="009005FB">
              <w:rPr>
                <w:color w:val="000000"/>
                <w:szCs w:val="24"/>
              </w:rPr>
              <w:t>Austria</w:t>
            </w:r>
          </w:p>
        </w:tc>
        <w:tc>
          <w:tcPr>
            <w:tcW w:w="1337" w:type="dxa"/>
            <w:tcBorders>
              <w:top w:val="nil"/>
              <w:left w:val="nil"/>
              <w:bottom w:val="single" w:sz="8" w:space="0" w:color="auto"/>
              <w:right w:val="single" w:sz="8" w:space="0" w:color="auto"/>
            </w:tcBorders>
            <w:shd w:val="clear" w:color="auto" w:fill="auto"/>
            <w:vAlign w:val="center"/>
            <w:hideMark/>
          </w:tcPr>
          <w:p w14:paraId="08222100" w14:textId="77777777" w:rsidR="00ED56B7" w:rsidRPr="009005FB" w:rsidRDefault="00ED56B7" w:rsidP="001149AD">
            <w:pPr>
              <w:widowControl/>
              <w:jc w:val="center"/>
              <w:rPr>
                <w:color w:val="000000"/>
                <w:szCs w:val="24"/>
              </w:rPr>
            </w:pPr>
            <w:r w:rsidRPr="009005FB">
              <w:rPr>
                <w:color w:val="000000"/>
                <w:szCs w:val="24"/>
              </w:rPr>
              <w:t>8711500</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2058B486" w14:textId="77777777" w:rsidR="00ED56B7" w:rsidRPr="009005FB" w:rsidRDefault="00ED56B7" w:rsidP="001149AD">
            <w:pPr>
              <w:widowControl/>
              <w:jc w:val="center"/>
              <w:rPr>
                <w:color w:val="000000"/>
                <w:szCs w:val="24"/>
              </w:rPr>
            </w:pPr>
            <w:r w:rsidRPr="009005FB">
              <w:rPr>
                <w:color w:val="000000"/>
                <w:szCs w:val="24"/>
              </w:rPr>
              <w:t>18</w:t>
            </w:r>
          </w:p>
        </w:tc>
        <w:tc>
          <w:tcPr>
            <w:tcW w:w="1673" w:type="dxa"/>
            <w:tcBorders>
              <w:top w:val="nil"/>
              <w:left w:val="nil"/>
              <w:bottom w:val="single" w:sz="4" w:space="0" w:color="auto"/>
              <w:right w:val="single" w:sz="4" w:space="0" w:color="auto"/>
            </w:tcBorders>
            <w:shd w:val="clear" w:color="auto" w:fill="auto"/>
            <w:noWrap/>
            <w:vAlign w:val="bottom"/>
            <w:hideMark/>
          </w:tcPr>
          <w:p w14:paraId="06124303" w14:textId="77777777" w:rsidR="00ED56B7" w:rsidRPr="009005FB" w:rsidRDefault="00ED56B7" w:rsidP="001149AD">
            <w:pPr>
              <w:widowControl/>
              <w:jc w:val="right"/>
              <w:rPr>
                <w:color w:val="000000"/>
                <w:szCs w:val="24"/>
              </w:rPr>
            </w:pPr>
            <w:r w:rsidRPr="009005FB">
              <w:rPr>
                <w:color w:val="000000"/>
                <w:szCs w:val="24"/>
              </w:rPr>
              <w:t>483972</w:t>
            </w:r>
          </w:p>
        </w:tc>
        <w:tc>
          <w:tcPr>
            <w:tcW w:w="1470" w:type="dxa"/>
            <w:tcBorders>
              <w:top w:val="nil"/>
              <w:left w:val="nil"/>
              <w:bottom w:val="single" w:sz="4" w:space="0" w:color="auto"/>
              <w:right w:val="single" w:sz="4" w:space="0" w:color="auto"/>
            </w:tcBorders>
            <w:shd w:val="clear" w:color="auto" w:fill="auto"/>
            <w:vAlign w:val="center"/>
            <w:hideMark/>
          </w:tcPr>
          <w:p w14:paraId="05A184C3" w14:textId="77777777" w:rsidR="00ED56B7" w:rsidRPr="009005FB" w:rsidRDefault="00ED56B7" w:rsidP="001149AD">
            <w:pPr>
              <w:widowControl/>
              <w:jc w:val="center"/>
              <w:rPr>
                <w:color w:val="000000"/>
                <w:szCs w:val="24"/>
              </w:rPr>
            </w:pPr>
            <w:r w:rsidRPr="009005FB">
              <w:rPr>
                <w:color w:val="000000"/>
                <w:szCs w:val="24"/>
              </w:rPr>
              <w:t>19</w:t>
            </w:r>
          </w:p>
        </w:tc>
        <w:tc>
          <w:tcPr>
            <w:tcW w:w="1559" w:type="dxa"/>
            <w:tcBorders>
              <w:top w:val="nil"/>
              <w:left w:val="nil"/>
              <w:bottom w:val="single" w:sz="4" w:space="0" w:color="auto"/>
              <w:right w:val="single" w:sz="4" w:space="0" w:color="auto"/>
            </w:tcBorders>
            <w:shd w:val="clear" w:color="auto" w:fill="auto"/>
            <w:noWrap/>
            <w:vAlign w:val="bottom"/>
            <w:hideMark/>
          </w:tcPr>
          <w:p w14:paraId="206EE8EF" w14:textId="77777777" w:rsidR="00ED56B7" w:rsidRPr="009005FB" w:rsidRDefault="00ED56B7" w:rsidP="001149AD">
            <w:pPr>
              <w:widowControl/>
              <w:jc w:val="right"/>
              <w:rPr>
                <w:color w:val="000000"/>
                <w:szCs w:val="24"/>
              </w:rPr>
            </w:pPr>
            <w:r w:rsidRPr="009005FB">
              <w:rPr>
                <w:color w:val="000000"/>
                <w:szCs w:val="24"/>
              </w:rPr>
              <w:t>458500</w:t>
            </w:r>
          </w:p>
        </w:tc>
      </w:tr>
      <w:tr w:rsidR="00ED56B7" w:rsidRPr="009005FB" w14:paraId="0C34D403"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238F0AE6" w14:textId="77777777" w:rsidR="00ED56B7" w:rsidRPr="009005FB" w:rsidRDefault="00ED56B7" w:rsidP="001149AD">
            <w:pPr>
              <w:widowControl/>
              <w:rPr>
                <w:color w:val="000000"/>
                <w:szCs w:val="24"/>
              </w:rPr>
            </w:pPr>
            <w:r w:rsidRPr="009005FB">
              <w:rPr>
                <w:color w:val="000000"/>
                <w:szCs w:val="24"/>
              </w:rPr>
              <w:t>Bulgaria</w:t>
            </w:r>
          </w:p>
        </w:tc>
        <w:tc>
          <w:tcPr>
            <w:tcW w:w="1337" w:type="dxa"/>
            <w:tcBorders>
              <w:top w:val="nil"/>
              <w:left w:val="nil"/>
              <w:bottom w:val="single" w:sz="8" w:space="0" w:color="auto"/>
              <w:right w:val="single" w:sz="8" w:space="0" w:color="auto"/>
            </w:tcBorders>
            <w:shd w:val="clear" w:color="auto" w:fill="auto"/>
            <w:vAlign w:val="center"/>
            <w:hideMark/>
          </w:tcPr>
          <w:p w14:paraId="41A1EC80" w14:textId="77777777" w:rsidR="00ED56B7" w:rsidRPr="009005FB" w:rsidRDefault="00ED56B7" w:rsidP="001149AD">
            <w:pPr>
              <w:widowControl/>
              <w:jc w:val="center"/>
              <w:rPr>
                <w:color w:val="000000"/>
                <w:szCs w:val="24"/>
              </w:rPr>
            </w:pPr>
            <w:r w:rsidRPr="009005FB">
              <w:rPr>
                <w:color w:val="000000"/>
                <w:szCs w:val="24"/>
              </w:rPr>
              <w:t>7153784</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7BFAC742" w14:textId="77777777" w:rsidR="00ED56B7" w:rsidRPr="009005FB" w:rsidRDefault="00ED56B7" w:rsidP="001149AD">
            <w:pPr>
              <w:widowControl/>
              <w:jc w:val="center"/>
              <w:rPr>
                <w:color w:val="000000"/>
                <w:szCs w:val="24"/>
              </w:rPr>
            </w:pPr>
            <w:r w:rsidRPr="009005FB">
              <w:rPr>
                <w:color w:val="000000"/>
                <w:szCs w:val="24"/>
              </w:rPr>
              <w:t>17</w:t>
            </w:r>
          </w:p>
        </w:tc>
        <w:tc>
          <w:tcPr>
            <w:tcW w:w="1673" w:type="dxa"/>
            <w:tcBorders>
              <w:top w:val="nil"/>
              <w:left w:val="nil"/>
              <w:bottom w:val="single" w:sz="4" w:space="0" w:color="auto"/>
              <w:right w:val="single" w:sz="4" w:space="0" w:color="auto"/>
            </w:tcBorders>
            <w:shd w:val="clear" w:color="auto" w:fill="auto"/>
            <w:noWrap/>
            <w:vAlign w:val="bottom"/>
            <w:hideMark/>
          </w:tcPr>
          <w:p w14:paraId="5EBB2A3B" w14:textId="77777777" w:rsidR="00ED56B7" w:rsidRPr="009005FB" w:rsidRDefault="00ED56B7" w:rsidP="001149AD">
            <w:pPr>
              <w:widowControl/>
              <w:jc w:val="right"/>
              <w:rPr>
                <w:color w:val="000000"/>
                <w:szCs w:val="24"/>
              </w:rPr>
            </w:pPr>
            <w:r w:rsidRPr="009005FB">
              <w:rPr>
                <w:color w:val="000000"/>
                <w:szCs w:val="24"/>
              </w:rPr>
              <w:t>420811</w:t>
            </w:r>
          </w:p>
        </w:tc>
        <w:tc>
          <w:tcPr>
            <w:tcW w:w="1470" w:type="dxa"/>
            <w:tcBorders>
              <w:top w:val="nil"/>
              <w:left w:val="nil"/>
              <w:bottom w:val="single" w:sz="4" w:space="0" w:color="auto"/>
              <w:right w:val="single" w:sz="4" w:space="0" w:color="auto"/>
            </w:tcBorders>
            <w:shd w:val="clear" w:color="auto" w:fill="auto"/>
            <w:vAlign w:val="center"/>
            <w:hideMark/>
          </w:tcPr>
          <w:p w14:paraId="4D5011FE" w14:textId="77777777" w:rsidR="00ED56B7" w:rsidRPr="009005FB" w:rsidRDefault="00ED56B7" w:rsidP="001149AD">
            <w:pPr>
              <w:widowControl/>
              <w:jc w:val="center"/>
              <w:rPr>
                <w:color w:val="000000"/>
                <w:szCs w:val="24"/>
              </w:rPr>
            </w:pPr>
            <w:r w:rsidRPr="009005FB">
              <w:rPr>
                <w:color w:val="000000"/>
                <w:szCs w:val="24"/>
              </w:rPr>
              <w:t>17</w:t>
            </w:r>
          </w:p>
        </w:tc>
        <w:tc>
          <w:tcPr>
            <w:tcW w:w="1559" w:type="dxa"/>
            <w:tcBorders>
              <w:top w:val="nil"/>
              <w:left w:val="nil"/>
              <w:bottom w:val="single" w:sz="4" w:space="0" w:color="auto"/>
              <w:right w:val="single" w:sz="4" w:space="0" w:color="auto"/>
            </w:tcBorders>
            <w:shd w:val="clear" w:color="auto" w:fill="auto"/>
            <w:noWrap/>
            <w:vAlign w:val="bottom"/>
            <w:hideMark/>
          </w:tcPr>
          <w:p w14:paraId="13CF2115" w14:textId="77777777" w:rsidR="00ED56B7" w:rsidRPr="009005FB" w:rsidRDefault="00ED56B7" w:rsidP="001149AD">
            <w:pPr>
              <w:widowControl/>
              <w:jc w:val="right"/>
              <w:rPr>
                <w:color w:val="000000"/>
                <w:szCs w:val="24"/>
              </w:rPr>
            </w:pPr>
            <w:r w:rsidRPr="009005FB">
              <w:rPr>
                <w:color w:val="000000"/>
                <w:szCs w:val="24"/>
              </w:rPr>
              <w:t>420811</w:t>
            </w:r>
          </w:p>
        </w:tc>
      </w:tr>
      <w:tr w:rsidR="00ED56B7" w:rsidRPr="009005FB" w14:paraId="5326E897" w14:textId="77777777" w:rsidTr="001149AD">
        <w:trPr>
          <w:trHeight w:val="224"/>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61B61F1A" w14:textId="77777777" w:rsidR="00ED56B7" w:rsidRPr="009005FB" w:rsidRDefault="00ED56B7" w:rsidP="001149AD">
            <w:pPr>
              <w:widowControl/>
              <w:rPr>
                <w:color w:val="000000"/>
                <w:szCs w:val="24"/>
              </w:rPr>
            </w:pPr>
            <w:r w:rsidRPr="009005FB">
              <w:rPr>
                <w:color w:val="000000"/>
                <w:szCs w:val="24"/>
              </w:rPr>
              <w:t>Denmark</w:t>
            </w:r>
          </w:p>
        </w:tc>
        <w:tc>
          <w:tcPr>
            <w:tcW w:w="1337" w:type="dxa"/>
            <w:tcBorders>
              <w:top w:val="nil"/>
              <w:left w:val="nil"/>
              <w:bottom w:val="single" w:sz="8" w:space="0" w:color="auto"/>
              <w:right w:val="single" w:sz="8" w:space="0" w:color="auto"/>
            </w:tcBorders>
            <w:shd w:val="clear" w:color="auto" w:fill="auto"/>
            <w:vAlign w:val="center"/>
            <w:hideMark/>
          </w:tcPr>
          <w:p w14:paraId="22D40223" w14:textId="77777777" w:rsidR="00ED56B7" w:rsidRPr="009005FB" w:rsidRDefault="00ED56B7" w:rsidP="001149AD">
            <w:pPr>
              <w:widowControl/>
              <w:jc w:val="center"/>
              <w:rPr>
                <w:color w:val="000000"/>
                <w:szCs w:val="24"/>
              </w:rPr>
            </w:pPr>
            <w:r w:rsidRPr="009005FB">
              <w:rPr>
                <w:color w:val="000000"/>
                <w:szCs w:val="24"/>
              </w:rPr>
              <w:t>5700917</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3A62BC73" w14:textId="77777777" w:rsidR="00ED56B7" w:rsidRPr="009005FB" w:rsidRDefault="00ED56B7" w:rsidP="001149AD">
            <w:pPr>
              <w:widowControl/>
              <w:jc w:val="center"/>
              <w:rPr>
                <w:color w:val="000000"/>
                <w:szCs w:val="24"/>
              </w:rPr>
            </w:pPr>
            <w:r w:rsidRPr="009005FB">
              <w:rPr>
                <w:color w:val="000000"/>
                <w:szCs w:val="24"/>
              </w:rPr>
              <w:t>13</w:t>
            </w:r>
          </w:p>
        </w:tc>
        <w:tc>
          <w:tcPr>
            <w:tcW w:w="1673" w:type="dxa"/>
            <w:tcBorders>
              <w:top w:val="nil"/>
              <w:left w:val="nil"/>
              <w:bottom w:val="single" w:sz="4" w:space="0" w:color="auto"/>
              <w:right w:val="single" w:sz="4" w:space="0" w:color="auto"/>
            </w:tcBorders>
            <w:shd w:val="clear" w:color="auto" w:fill="auto"/>
            <w:noWrap/>
            <w:vAlign w:val="bottom"/>
            <w:hideMark/>
          </w:tcPr>
          <w:p w14:paraId="78E46968" w14:textId="77777777" w:rsidR="00ED56B7" w:rsidRPr="009005FB" w:rsidRDefault="00ED56B7" w:rsidP="001149AD">
            <w:pPr>
              <w:widowControl/>
              <w:jc w:val="right"/>
              <w:rPr>
                <w:color w:val="000000"/>
                <w:szCs w:val="24"/>
              </w:rPr>
            </w:pPr>
            <w:r w:rsidRPr="009005FB">
              <w:rPr>
                <w:color w:val="000000"/>
                <w:szCs w:val="24"/>
              </w:rPr>
              <w:t>438532</w:t>
            </w:r>
          </w:p>
        </w:tc>
        <w:tc>
          <w:tcPr>
            <w:tcW w:w="1470" w:type="dxa"/>
            <w:tcBorders>
              <w:top w:val="nil"/>
              <w:left w:val="nil"/>
              <w:bottom w:val="single" w:sz="4" w:space="0" w:color="auto"/>
              <w:right w:val="single" w:sz="4" w:space="0" w:color="auto"/>
            </w:tcBorders>
            <w:shd w:val="clear" w:color="auto" w:fill="auto"/>
            <w:vAlign w:val="center"/>
            <w:hideMark/>
          </w:tcPr>
          <w:p w14:paraId="6DACAE9E" w14:textId="77777777" w:rsidR="00ED56B7" w:rsidRPr="009005FB" w:rsidRDefault="00ED56B7" w:rsidP="001149AD">
            <w:pPr>
              <w:widowControl/>
              <w:jc w:val="center"/>
              <w:rPr>
                <w:color w:val="000000"/>
                <w:szCs w:val="24"/>
              </w:rPr>
            </w:pPr>
            <w:r w:rsidRPr="009005FB">
              <w:rPr>
                <w:color w:val="000000"/>
                <w:szCs w:val="24"/>
              </w:rPr>
              <w:t>14</w:t>
            </w:r>
          </w:p>
        </w:tc>
        <w:tc>
          <w:tcPr>
            <w:tcW w:w="1559" w:type="dxa"/>
            <w:tcBorders>
              <w:top w:val="nil"/>
              <w:left w:val="nil"/>
              <w:bottom w:val="single" w:sz="4" w:space="0" w:color="auto"/>
              <w:right w:val="single" w:sz="4" w:space="0" w:color="auto"/>
            </w:tcBorders>
            <w:shd w:val="clear" w:color="auto" w:fill="auto"/>
            <w:noWrap/>
            <w:vAlign w:val="bottom"/>
            <w:hideMark/>
          </w:tcPr>
          <w:p w14:paraId="14B3DCB6" w14:textId="77777777" w:rsidR="00ED56B7" w:rsidRPr="009005FB" w:rsidRDefault="00ED56B7" w:rsidP="001149AD">
            <w:pPr>
              <w:widowControl/>
              <w:jc w:val="right"/>
              <w:rPr>
                <w:color w:val="000000"/>
                <w:szCs w:val="24"/>
              </w:rPr>
            </w:pPr>
            <w:r w:rsidRPr="009005FB">
              <w:rPr>
                <w:color w:val="000000"/>
                <w:szCs w:val="24"/>
              </w:rPr>
              <w:t>407208</w:t>
            </w:r>
          </w:p>
        </w:tc>
      </w:tr>
      <w:tr w:rsidR="00ED56B7" w:rsidRPr="009005FB" w14:paraId="0B73AF8B"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16B5C4B8" w14:textId="77777777" w:rsidR="00ED56B7" w:rsidRPr="009005FB" w:rsidRDefault="00ED56B7" w:rsidP="001149AD">
            <w:pPr>
              <w:widowControl/>
              <w:rPr>
                <w:color w:val="000000"/>
                <w:szCs w:val="24"/>
              </w:rPr>
            </w:pPr>
            <w:r w:rsidRPr="009005FB">
              <w:rPr>
                <w:color w:val="000000"/>
                <w:szCs w:val="24"/>
              </w:rPr>
              <w:t>Finland</w:t>
            </w:r>
          </w:p>
        </w:tc>
        <w:tc>
          <w:tcPr>
            <w:tcW w:w="1337" w:type="dxa"/>
            <w:tcBorders>
              <w:top w:val="nil"/>
              <w:left w:val="nil"/>
              <w:bottom w:val="single" w:sz="8" w:space="0" w:color="auto"/>
              <w:right w:val="single" w:sz="8" w:space="0" w:color="auto"/>
            </w:tcBorders>
            <w:shd w:val="clear" w:color="auto" w:fill="auto"/>
            <w:vAlign w:val="center"/>
            <w:hideMark/>
          </w:tcPr>
          <w:p w14:paraId="564894D8" w14:textId="77777777" w:rsidR="00ED56B7" w:rsidRPr="009005FB" w:rsidRDefault="00ED56B7" w:rsidP="001149AD">
            <w:pPr>
              <w:widowControl/>
              <w:jc w:val="center"/>
              <w:rPr>
                <w:color w:val="000000"/>
                <w:szCs w:val="24"/>
              </w:rPr>
            </w:pPr>
            <w:r w:rsidRPr="009005FB">
              <w:rPr>
                <w:color w:val="000000"/>
                <w:szCs w:val="24"/>
              </w:rPr>
              <w:t>5465408</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3982FFAE" w14:textId="77777777" w:rsidR="00ED56B7" w:rsidRPr="009005FB" w:rsidRDefault="00ED56B7" w:rsidP="001149AD">
            <w:pPr>
              <w:widowControl/>
              <w:jc w:val="center"/>
              <w:rPr>
                <w:color w:val="000000"/>
                <w:szCs w:val="24"/>
              </w:rPr>
            </w:pPr>
            <w:r w:rsidRPr="009005FB">
              <w:rPr>
                <w:color w:val="000000"/>
                <w:szCs w:val="24"/>
              </w:rPr>
              <w:t>13</w:t>
            </w:r>
          </w:p>
        </w:tc>
        <w:tc>
          <w:tcPr>
            <w:tcW w:w="1673" w:type="dxa"/>
            <w:tcBorders>
              <w:top w:val="nil"/>
              <w:left w:val="nil"/>
              <w:bottom w:val="single" w:sz="4" w:space="0" w:color="auto"/>
              <w:right w:val="single" w:sz="4" w:space="0" w:color="auto"/>
            </w:tcBorders>
            <w:shd w:val="clear" w:color="auto" w:fill="auto"/>
            <w:noWrap/>
            <w:vAlign w:val="bottom"/>
            <w:hideMark/>
          </w:tcPr>
          <w:p w14:paraId="71978E8C" w14:textId="77777777" w:rsidR="00ED56B7" w:rsidRPr="009005FB" w:rsidRDefault="00ED56B7" w:rsidP="001149AD">
            <w:pPr>
              <w:widowControl/>
              <w:jc w:val="right"/>
              <w:rPr>
                <w:color w:val="000000"/>
                <w:szCs w:val="24"/>
              </w:rPr>
            </w:pPr>
            <w:r w:rsidRPr="009005FB">
              <w:rPr>
                <w:color w:val="000000"/>
                <w:szCs w:val="24"/>
              </w:rPr>
              <w:t>420416</w:t>
            </w:r>
          </w:p>
        </w:tc>
        <w:tc>
          <w:tcPr>
            <w:tcW w:w="1470" w:type="dxa"/>
            <w:tcBorders>
              <w:top w:val="nil"/>
              <w:left w:val="nil"/>
              <w:bottom w:val="single" w:sz="4" w:space="0" w:color="auto"/>
              <w:right w:val="single" w:sz="4" w:space="0" w:color="auto"/>
            </w:tcBorders>
            <w:shd w:val="clear" w:color="auto" w:fill="auto"/>
            <w:vAlign w:val="center"/>
            <w:hideMark/>
          </w:tcPr>
          <w:p w14:paraId="5E4496FB" w14:textId="77777777" w:rsidR="00ED56B7" w:rsidRPr="009005FB" w:rsidRDefault="00ED56B7" w:rsidP="001149AD">
            <w:pPr>
              <w:widowControl/>
              <w:jc w:val="center"/>
              <w:rPr>
                <w:color w:val="000000"/>
                <w:szCs w:val="24"/>
              </w:rPr>
            </w:pPr>
            <w:r w:rsidRPr="009005FB">
              <w:rPr>
                <w:color w:val="000000"/>
                <w:szCs w:val="24"/>
              </w:rPr>
              <w:t>14</w:t>
            </w:r>
          </w:p>
        </w:tc>
        <w:tc>
          <w:tcPr>
            <w:tcW w:w="1559" w:type="dxa"/>
            <w:tcBorders>
              <w:top w:val="nil"/>
              <w:left w:val="nil"/>
              <w:bottom w:val="single" w:sz="4" w:space="0" w:color="auto"/>
              <w:right w:val="single" w:sz="4" w:space="0" w:color="auto"/>
            </w:tcBorders>
            <w:shd w:val="clear" w:color="auto" w:fill="auto"/>
            <w:noWrap/>
            <w:vAlign w:val="bottom"/>
            <w:hideMark/>
          </w:tcPr>
          <w:p w14:paraId="0860FA6C" w14:textId="77777777" w:rsidR="00ED56B7" w:rsidRPr="009005FB" w:rsidRDefault="00ED56B7" w:rsidP="001149AD">
            <w:pPr>
              <w:widowControl/>
              <w:jc w:val="right"/>
              <w:rPr>
                <w:color w:val="000000"/>
                <w:szCs w:val="24"/>
              </w:rPr>
            </w:pPr>
            <w:r w:rsidRPr="009005FB">
              <w:rPr>
                <w:color w:val="000000"/>
                <w:szCs w:val="24"/>
              </w:rPr>
              <w:t>390386</w:t>
            </w:r>
          </w:p>
        </w:tc>
      </w:tr>
      <w:tr w:rsidR="00ED56B7" w:rsidRPr="009005FB" w14:paraId="44F88EA4"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702224B6" w14:textId="77777777" w:rsidR="00ED56B7" w:rsidRPr="009005FB" w:rsidRDefault="00ED56B7" w:rsidP="001149AD">
            <w:pPr>
              <w:widowControl/>
              <w:rPr>
                <w:color w:val="000000"/>
                <w:szCs w:val="24"/>
              </w:rPr>
            </w:pPr>
            <w:r w:rsidRPr="009005FB">
              <w:rPr>
                <w:color w:val="000000"/>
                <w:szCs w:val="24"/>
              </w:rPr>
              <w:t>Slovakia</w:t>
            </w:r>
          </w:p>
        </w:tc>
        <w:tc>
          <w:tcPr>
            <w:tcW w:w="1337" w:type="dxa"/>
            <w:tcBorders>
              <w:top w:val="nil"/>
              <w:left w:val="nil"/>
              <w:bottom w:val="single" w:sz="8" w:space="0" w:color="auto"/>
              <w:right w:val="single" w:sz="8" w:space="0" w:color="auto"/>
            </w:tcBorders>
            <w:shd w:val="clear" w:color="auto" w:fill="auto"/>
            <w:vAlign w:val="center"/>
            <w:hideMark/>
          </w:tcPr>
          <w:p w14:paraId="68E74350" w14:textId="77777777" w:rsidR="00ED56B7" w:rsidRPr="009005FB" w:rsidRDefault="00ED56B7" w:rsidP="001149AD">
            <w:pPr>
              <w:widowControl/>
              <w:jc w:val="center"/>
              <w:rPr>
                <w:color w:val="000000"/>
                <w:szCs w:val="24"/>
              </w:rPr>
            </w:pPr>
            <w:r w:rsidRPr="009005FB">
              <w:rPr>
                <w:color w:val="000000"/>
                <w:szCs w:val="24"/>
              </w:rPr>
              <w:t>5407910</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0B0E552B" w14:textId="77777777" w:rsidR="00ED56B7" w:rsidRPr="009005FB" w:rsidRDefault="00ED56B7" w:rsidP="001149AD">
            <w:pPr>
              <w:widowControl/>
              <w:jc w:val="center"/>
              <w:rPr>
                <w:color w:val="000000"/>
                <w:szCs w:val="24"/>
              </w:rPr>
            </w:pPr>
            <w:r w:rsidRPr="009005FB">
              <w:rPr>
                <w:color w:val="000000"/>
                <w:szCs w:val="24"/>
              </w:rPr>
              <w:t>13</w:t>
            </w:r>
          </w:p>
        </w:tc>
        <w:tc>
          <w:tcPr>
            <w:tcW w:w="1673" w:type="dxa"/>
            <w:tcBorders>
              <w:top w:val="nil"/>
              <w:left w:val="nil"/>
              <w:bottom w:val="single" w:sz="4" w:space="0" w:color="auto"/>
              <w:right w:val="single" w:sz="4" w:space="0" w:color="auto"/>
            </w:tcBorders>
            <w:shd w:val="clear" w:color="auto" w:fill="auto"/>
            <w:noWrap/>
            <w:vAlign w:val="bottom"/>
            <w:hideMark/>
          </w:tcPr>
          <w:p w14:paraId="3FE604D3" w14:textId="77777777" w:rsidR="00ED56B7" w:rsidRPr="009005FB" w:rsidRDefault="00ED56B7" w:rsidP="001149AD">
            <w:pPr>
              <w:widowControl/>
              <w:jc w:val="right"/>
              <w:rPr>
                <w:color w:val="000000"/>
                <w:szCs w:val="24"/>
              </w:rPr>
            </w:pPr>
            <w:r w:rsidRPr="009005FB">
              <w:rPr>
                <w:color w:val="000000"/>
                <w:szCs w:val="24"/>
              </w:rPr>
              <w:t>415993</w:t>
            </w:r>
          </w:p>
        </w:tc>
        <w:tc>
          <w:tcPr>
            <w:tcW w:w="1470" w:type="dxa"/>
            <w:tcBorders>
              <w:top w:val="nil"/>
              <w:left w:val="nil"/>
              <w:bottom w:val="single" w:sz="4" w:space="0" w:color="auto"/>
              <w:right w:val="single" w:sz="4" w:space="0" w:color="auto"/>
            </w:tcBorders>
            <w:shd w:val="clear" w:color="auto" w:fill="auto"/>
            <w:vAlign w:val="center"/>
            <w:hideMark/>
          </w:tcPr>
          <w:p w14:paraId="7653E0F3" w14:textId="77777777" w:rsidR="00ED56B7" w:rsidRPr="009005FB" w:rsidRDefault="00ED56B7" w:rsidP="001149AD">
            <w:pPr>
              <w:widowControl/>
              <w:jc w:val="center"/>
              <w:rPr>
                <w:color w:val="000000"/>
                <w:szCs w:val="24"/>
              </w:rPr>
            </w:pPr>
            <w:r w:rsidRPr="009005FB">
              <w:rPr>
                <w:color w:val="000000"/>
                <w:szCs w:val="24"/>
              </w:rPr>
              <w:t>14</w:t>
            </w:r>
          </w:p>
        </w:tc>
        <w:tc>
          <w:tcPr>
            <w:tcW w:w="1559" w:type="dxa"/>
            <w:tcBorders>
              <w:top w:val="nil"/>
              <w:left w:val="nil"/>
              <w:bottom w:val="single" w:sz="4" w:space="0" w:color="auto"/>
              <w:right w:val="single" w:sz="4" w:space="0" w:color="auto"/>
            </w:tcBorders>
            <w:shd w:val="clear" w:color="auto" w:fill="auto"/>
            <w:noWrap/>
            <w:vAlign w:val="bottom"/>
            <w:hideMark/>
          </w:tcPr>
          <w:p w14:paraId="0AE9C35D" w14:textId="77777777" w:rsidR="00ED56B7" w:rsidRPr="009005FB" w:rsidRDefault="00ED56B7" w:rsidP="001149AD">
            <w:pPr>
              <w:widowControl/>
              <w:jc w:val="right"/>
              <w:rPr>
                <w:color w:val="000000"/>
                <w:szCs w:val="24"/>
              </w:rPr>
            </w:pPr>
            <w:r w:rsidRPr="009005FB">
              <w:rPr>
                <w:color w:val="000000"/>
                <w:szCs w:val="24"/>
              </w:rPr>
              <w:t>386279</w:t>
            </w:r>
          </w:p>
        </w:tc>
      </w:tr>
      <w:tr w:rsidR="00ED56B7" w:rsidRPr="009005FB" w14:paraId="4D349CFC"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0E850AD7" w14:textId="77777777" w:rsidR="00ED56B7" w:rsidRPr="009005FB" w:rsidRDefault="00ED56B7" w:rsidP="001149AD">
            <w:pPr>
              <w:widowControl/>
              <w:rPr>
                <w:color w:val="000000"/>
                <w:szCs w:val="24"/>
              </w:rPr>
            </w:pPr>
            <w:r w:rsidRPr="009005FB">
              <w:rPr>
                <w:color w:val="000000"/>
                <w:szCs w:val="24"/>
              </w:rPr>
              <w:t>Ireland</w:t>
            </w:r>
          </w:p>
        </w:tc>
        <w:tc>
          <w:tcPr>
            <w:tcW w:w="1337" w:type="dxa"/>
            <w:tcBorders>
              <w:top w:val="nil"/>
              <w:left w:val="nil"/>
              <w:bottom w:val="single" w:sz="8" w:space="0" w:color="auto"/>
              <w:right w:val="single" w:sz="8" w:space="0" w:color="auto"/>
            </w:tcBorders>
            <w:shd w:val="clear" w:color="auto" w:fill="auto"/>
            <w:vAlign w:val="center"/>
            <w:hideMark/>
          </w:tcPr>
          <w:p w14:paraId="20FD84BE" w14:textId="77777777" w:rsidR="00ED56B7" w:rsidRPr="009005FB" w:rsidRDefault="00ED56B7" w:rsidP="001149AD">
            <w:pPr>
              <w:widowControl/>
              <w:jc w:val="center"/>
              <w:rPr>
                <w:color w:val="000000"/>
                <w:szCs w:val="24"/>
              </w:rPr>
            </w:pPr>
            <w:r w:rsidRPr="009005FB">
              <w:rPr>
                <w:color w:val="000000"/>
                <w:szCs w:val="24"/>
              </w:rPr>
              <w:t>4664156</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38DA2E10" w14:textId="77777777" w:rsidR="00ED56B7" w:rsidRPr="009005FB" w:rsidRDefault="00ED56B7" w:rsidP="001149AD">
            <w:pPr>
              <w:widowControl/>
              <w:jc w:val="center"/>
              <w:rPr>
                <w:color w:val="000000"/>
                <w:szCs w:val="24"/>
              </w:rPr>
            </w:pPr>
            <w:r w:rsidRPr="009005FB">
              <w:rPr>
                <w:color w:val="000000"/>
                <w:szCs w:val="24"/>
              </w:rPr>
              <w:t>11</w:t>
            </w:r>
          </w:p>
        </w:tc>
        <w:tc>
          <w:tcPr>
            <w:tcW w:w="1673" w:type="dxa"/>
            <w:tcBorders>
              <w:top w:val="nil"/>
              <w:left w:val="nil"/>
              <w:bottom w:val="single" w:sz="4" w:space="0" w:color="auto"/>
              <w:right w:val="single" w:sz="4" w:space="0" w:color="auto"/>
            </w:tcBorders>
            <w:shd w:val="clear" w:color="auto" w:fill="auto"/>
            <w:noWrap/>
            <w:vAlign w:val="bottom"/>
            <w:hideMark/>
          </w:tcPr>
          <w:p w14:paraId="2525E8C4" w14:textId="77777777" w:rsidR="00ED56B7" w:rsidRPr="009005FB" w:rsidRDefault="00ED56B7" w:rsidP="001149AD">
            <w:pPr>
              <w:widowControl/>
              <w:jc w:val="right"/>
              <w:rPr>
                <w:color w:val="000000"/>
                <w:szCs w:val="24"/>
              </w:rPr>
            </w:pPr>
            <w:r w:rsidRPr="009005FB">
              <w:rPr>
                <w:color w:val="000000"/>
                <w:szCs w:val="24"/>
              </w:rPr>
              <w:t>424014</w:t>
            </w:r>
          </w:p>
        </w:tc>
        <w:tc>
          <w:tcPr>
            <w:tcW w:w="1470" w:type="dxa"/>
            <w:tcBorders>
              <w:top w:val="nil"/>
              <w:left w:val="nil"/>
              <w:bottom w:val="single" w:sz="4" w:space="0" w:color="auto"/>
              <w:right w:val="single" w:sz="4" w:space="0" w:color="auto"/>
            </w:tcBorders>
            <w:shd w:val="clear" w:color="auto" w:fill="auto"/>
            <w:vAlign w:val="center"/>
            <w:hideMark/>
          </w:tcPr>
          <w:p w14:paraId="3A5F6F96" w14:textId="77777777" w:rsidR="00ED56B7" w:rsidRPr="009005FB" w:rsidRDefault="00ED56B7" w:rsidP="001149AD">
            <w:pPr>
              <w:widowControl/>
              <w:jc w:val="center"/>
              <w:rPr>
                <w:color w:val="000000"/>
                <w:szCs w:val="24"/>
              </w:rPr>
            </w:pPr>
            <w:r w:rsidRPr="009005FB">
              <w:rPr>
                <w:color w:val="000000"/>
                <w:szCs w:val="24"/>
              </w:rPr>
              <w:t>13</w:t>
            </w:r>
          </w:p>
        </w:tc>
        <w:tc>
          <w:tcPr>
            <w:tcW w:w="1559" w:type="dxa"/>
            <w:tcBorders>
              <w:top w:val="nil"/>
              <w:left w:val="nil"/>
              <w:bottom w:val="single" w:sz="4" w:space="0" w:color="auto"/>
              <w:right w:val="single" w:sz="4" w:space="0" w:color="auto"/>
            </w:tcBorders>
            <w:shd w:val="clear" w:color="auto" w:fill="auto"/>
            <w:noWrap/>
            <w:vAlign w:val="bottom"/>
            <w:hideMark/>
          </w:tcPr>
          <w:p w14:paraId="7A4892CC" w14:textId="77777777" w:rsidR="00ED56B7" w:rsidRPr="009005FB" w:rsidRDefault="00ED56B7" w:rsidP="001149AD">
            <w:pPr>
              <w:widowControl/>
              <w:jc w:val="right"/>
              <w:rPr>
                <w:color w:val="000000"/>
                <w:szCs w:val="24"/>
              </w:rPr>
            </w:pPr>
            <w:r w:rsidRPr="009005FB">
              <w:rPr>
                <w:color w:val="000000"/>
                <w:szCs w:val="24"/>
              </w:rPr>
              <w:t>358781</w:t>
            </w:r>
          </w:p>
        </w:tc>
      </w:tr>
      <w:tr w:rsidR="00ED56B7" w:rsidRPr="009005FB" w14:paraId="144C7304"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76775991" w14:textId="77777777" w:rsidR="00ED56B7" w:rsidRPr="009005FB" w:rsidRDefault="00ED56B7" w:rsidP="001149AD">
            <w:pPr>
              <w:widowControl/>
              <w:rPr>
                <w:color w:val="000000"/>
                <w:szCs w:val="24"/>
              </w:rPr>
            </w:pPr>
            <w:r w:rsidRPr="009005FB">
              <w:rPr>
                <w:color w:val="000000"/>
                <w:szCs w:val="24"/>
              </w:rPr>
              <w:t>Croatia</w:t>
            </w:r>
          </w:p>
        </w:tc>
        <w:tc>
          <w:tcPr>
            <w:tcW w:w="1337" w:type="dxa"/>
            <w:tcBorders>
              <w:top w:val="nil"/>
              <w:left w:val="nil"/>
              <w:bottom w:val="single" w:sz="8" w:space="0" w:color="auto"/>
              <w:right w:val="single" w:sz="8" w:space="0" w:color="auto"/>
            </w:tcBorders>
            <w:shd w:val="clear" w:color="auto" w:fill="auto"/>
            <w:vAlign w:val="center"/>
            <w:hideMark/>
          </w:tcPr>
          <w:p w14:paraId="5BB410B3" w14:textId="77777777" w:rsidR="00ED56B7" w:rsidRPr="009005FB" w:rsidRDefault="00ED56B7" w:rsidP="001149AD">
            <w:pPr>
              <w:widowControl/>
              <w:jc w:val="center"/>
              <w:rPr>
                <w:color w:val="000000"/>
                <w:szCs w:val="24"/>
              </w:rPr>
            </w:pPr>
            <w:r w:rsidRPr="009005FB">
              <w:rPr>
                <w:color w:val="000000"/>
                <w:szCs w:val="24"/>
              </w:rPr>
              <w:t>4190669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25F19B24" w14:textId="77777777" w:rsidR="00ED56B7" w:rsidRPr="009005FB" w:rsidRDefault="00ED56B7" w:rsidP="001149AD">
            <w:pPr>
              <w:widowControl/>
              <w:jc w:val="center"/>
              <w:rPr>
                <w:color w:val="000000"/>
                <w:szCs w:val="24"/>
              </w:rPr>
            </w:pPr>
            <w:r w:rsidRPr="009005FB">
              <w:rPr>
                <w:color w:val="000000"/>
                <w:szCs w:val="24"/>
              </w:rPr>
              <w:t>11</w:t>
            </w:r>
          </w:p>
        </w:tc>
        <w:tc>
          <w:tcPr>
            <w:tcW w:w="1673" w:type="dxa"/>
            <w:tcBorders>
              <w:top w:val="nil"/>
              <w:left w:val="nil"/>
              <w:bottom w:val="single" w:sz="4" w:space="0" w:color="auto"/>
              <w:right w:val="single" w:sz="4" w:space="0" w:color="auto"/>
            </w:tcBorders>
            <w:shd w:val="clear" w:color="auto" w:fill="auto"/>
            <w:noWrap/>
            <w:vAlign w:val="bottom"/>
            <w:hideMark/>
          </w:tcPr>
          <w:p w14:paraId="40D96E13" w14:textId="77777777" w:rsidR="00ED56B7" w:rsidRPr="009005FB" w:rsidRDefault="00ED56B7" w:rsidP="001149AD">
            <w:pPr>
              <w:widowControl/>
              <w:jc w:val="right"/>
              <w:rPr>
                <w:color w:val="000000"/>
                <w:szCs w:val="24"/>
              </w:rPr>
            </w:pPr>
            <w:r w:rsidRPr="009005FB">
              <w:rPr>
                <w:color w:val="000000"/>
                <w:szCs w:val="24"/>
              </w:rPr>
              <w:t>380970</w:t>
            </w:r>
          </w:p>
        </w:tc>
        <w:tc>
          <w:tcPr>
            <w:tcW w:w="1470" w:type="dxa"/>
            <w:tcBorders>
              <w:top w:val="nil"/>
              <w:left w:val="nil"/>
              <w:bottom w:val="single" w:sz="4" w:space="0" w:color="auto"/>
              <w:right w:val="single" w:sz="4" w:space="0" w:color="auto"/>
            </w:tcBorders>
            <w:shd w:val="clear" w:color="auto" w:fill="auto"/>
            <w:vAlign w:val="center"/>
            <w:hideMark/>
          </w:tcPr>
          <w:p w14:paraId="70609901" w14:textId="77777777" w:rsidR="00ED56B7" w:rsidRPr="009005FB" w:rsidRDefault="00ED56B7" w:rsidP="001149AD">
            <w:pPr>
              <w:widowControl/>
              <w:jc w:val="center"/>
              <w:rPr>
                <w:color w:val="000000"/>
                <w:szCs w:val="24"/>
              </w:rPr>
            </w:pPr>
            <w:r w:rsidRPr="009005FB">
              <w:rPr>
                <w:color w:val="000000"/>
                <w:szCs w:val="24"/>
              </w:rPr>
              <w:t>12</w:t>
            </w:r>
          </w:p>
        </w:tc>
        <w:tc>
          <w:tcPr>
            <w:tcW w:w="1559" w:type="dxa"/>
            <w:tcBorders>
              <w:top w:val="nil"/>
              <w:left w:val="nil"/>
              <w:bottom w:val="single" w:sz="4" w:space="0" w:color="auto"/>
              <w:right w:val="single" w:sz="4" w:space="0" w:color="auto"/>
            </w:tcBorders>
            <w:shd w:val="clear" w:color="auto" w:fill="auto"/>
            <w:noWrap/>
            <w:vAlign w:val="bottom"/>
            <w:hideMark/>
          </w:tcPr>
          <w:p w14:paraId="44DAADDB" w14:textId="77777777" w:rsidR="00ED56B7" w:rsidRPr="009005FB" w:rsidRDefault="00ED56B7" w:rsidP="001149AD">
            <w:pPr>
              <w:widowControl/>
              <w:jc w:val="right"/>
              <w:rPr>
                <w:color w:val="000000"/>
                <w:szCs w:val="24"/>
              </w:rPr>
            </w:pPr>
            <w:r w:rsidRPr="009005FB">
              <w:rPr>
                <w:color w:val="000000"/>
                <w:szCs w:val="24"/>
              </w:rPr>
              <w:t>349222</w:t>
            </w:r>
          </w:p>
        </w:tc>
      </w:tr>
      <w:tr w:rsidR="00ED56B7" w:rsidRPr="009005FB" w14:paraId="12243782" w14:textId="77777777" w:rsidTr="001149AD">
        <w:trPr>
          <w:trHeight w:val="18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53E52CBB" w14:textId="77777777" w:rsidR="00ED56B7" w:rsidRPr="009005FB" w:rsidRDefault="00ED56B7" w:rsidP="001149AD">
            <w:pPr>
              <w:widowControl/>
              <w:rPr>
                <w:color w:val="000000"/>
                <w:szCs w:val="24"/>
              </w:rPr>
            </w:pPr>
            <w:r w:rsidRPr="009005FB">
              <w:rPr>
                <w:color w:val="000000"/>
                <w:szCs w:val="24"/>
              </w:rPr>
              <w:t>Lithuania</w:t>
            </w:r>
          </w:p>
        </w:tc>
        <w:tc>
          <w:tcPr>
            <w:tcW w:w="1337" w:type="dxa"/>
            <w:tcBorders>
              <w:top w:val="nil"/>
              <w:left w:val="nil"/>
              <w:bottom w:val="single" w:sz="8" w:space="0" w:color="auto"/>
              <w:right w:val="single" w:sz="8" w:space="0" w:color="auto"/>
            </w:tcBorders>
            <w:shd w:val="clear" w:color="auto" w:fill="auto"/>
            <w:vAlign w:val="center"/>
            <w:hideMark/>
          </w:tcPr>
          <w:p w14:paraId="19F1D854" w14:textId="77777777" w:rsidR="00ED56B7" w:rsidRPr="009005FB" w:rsidRDefault="00ED56B7" w:rsidP="001149AD">
            <w:pPr>
              <w:widowControl/>
              <w:jc w:val="center"/>
              <w:rPr>
                <w:color w:val="000000"/>
                <w:szCs w:val="24"/>
              </w:rPr>
            </w:pPr>
            <w:r w:rsidRPr="009005FB">
              <w:rPr>
                <w:color w:val="000000"/>
                <w:szCs w:val="24"/>
              </w:rPr>
              <w:t>2888558</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6E04D28C" w14:textId="77777777" w:rsidR="00ED56B7" w:rsidRPr="009005FB" w:rsidRDefault="00ED56B7" w:rsidP="001149AD">
            <w:pPr>
              <w:widowControl/>
              <w:jc w:val="center"/>
              <w:rPr>
                <w:color w:val="000000"/>
                <w:szCs w:val="24"/>
              </w:rPr>
            </w:pPr>
            <w:r w:rsidRPr="009005FB">
              <w:rPr>
                <w:color w:val="000000"/>
                <w:szCs w:val="24"/>
              </w:rPr>
              <w:t>11</w:t>
            </w:r>
          </w:p>
        </w:tc>
        <w:tc>
          <w:tcPr>
            <w:tcW w:w="1673" w:type="dxa"/>
            <w:tcBorders>
              <w:top w:val="nil"/>
              <w:left w:val="nil"/>
              <w:bottom w:val="single" w:sz="4" w:space="0" w:color="auto"/>
              <w:right w:val="single" w:sz="4" w:space="0" w:color="auto"/>
            </w:tcBorders>
            <w:shd w:val="clear" w:color="auto" w:fill="auto"/>
            <w:noWrap/>
            <w:vAlign w:val="bottom"/>
            <w:hideMark/>
          </w:tcPr>
          <w:p w14:paraId="4A0E425D" w14:textId="77777777" w:rsidR="00ED56B7" w:rsidRPr="009005FB" w:rsidRDefault="00ED56B7" w:rsidP="001149AD">
            <w:pPr>
              <w:widowControl/>
              <w:jc w:val="right"/>
              <w:rPr>
                <w:color w:val="000000"/>
                <w:szCs w:val="24"/>
              </w:rPr>
            </w:pPr>
            <w:r w:rsidRPr="009005FB">
              <w:rPr>
                <w:color w:val="000000"/>
                <w:szCs w:val="24"/>
              </w:rPr>
              <w:t>262596</w:t>
            </w:r>
          </w:p>
        </w:tc>
        <w:tc>
          <w:tcPr>
            <w:tcW w:w="1470" w:type="dxa"/>
            <w:tcBorders>
              <w:top w:val="nil"/>
              <w:left w:val="nil"/>
              <w:bottom w:val="single" w:sz="4" w:space="0" w:color="auto"/>
              <w:right w:val="single" w:sz="4" w:space="0" w:color="auto"/>
            </w:tcBorders>
            <w:shd w:val="clear" w:color="auto" w:fill="auto"/>
            <w:vAlign w:val="center"/>
            <w:hideMark/>
          </w:tcPr>
          <w:p w14:paraId="2014CD38" w14:textId="77777777" w:rsidR="00ED56B7" w:rsidRPr="009005FB" w:rsidRDefault="00ED56B7" w:rsidP="001149AD">
            <w:pPr>
              <w:widowControl/>
              <w:jc w:val="center"/>
              <w:rPr>
                <w:color w:val="000000"/>
                <w:szCs w:val="24"/>
              </w:rPr>
            </w:pPr>
            <w:r w:rsidRPr="009005FB">
              <w:rPr>
                <w:color w:val="000000"/>
                <w:szCs w:val="24"/>
              </w:rPr>
              <w:t>11</w:t>
            </w:r>
          </w:p>
        </w:tc>
        <w:tc>
          <w:tcPr>
            <w:tcW w:w="1559" w:type="dxa"/>
            <w:tcBorders>
              <w:top w:val="nil"/>
              <w:left w:val="nil"/>
              <w:bottom w:val="single" w:sz="4" w:space="0" w:color="auto"/>
              <w:right w:val="single" w:sz="4" w:space="0" w:color="auto"/>
            </w:tcBorders>
            <w:shd w:val="clear" w:color="auto" w:fill="auto"/>
            <w:noWrap/>
            <w:vAlign w:val="bottom"/>
            <w:hideMark/>
          </w:tcPr>
          <w:p w14:paraId="5911923E" w14:textId="77777777" w:rsidR="00ED56B7" w:rsidRPr="009005FB" w:rsidRDefault="00ED56B7" w:rsidP="001149AD">
            <w:pPr>
              <w:widowControl/>
              <w:jc w:val="right"/>
              <w:rPr>
                <w:color w:val="000000"/>
                <w:szCs w:val="24"/>
              </w:rPr>
            </w:pPr>
            <w:r w:rsidRPr="009005FB">
              <w:rPr>
                <w:color w:val="000000"/>
                <w:szCs w:val="24"/>
              </w:rPr>
              <w:t>262596</w:t>
            </w:r>
          </w:p>
        </w:tc>
      </w:tr>
      <w:tr w:rsidR="00ED56B7" w:rsidRPr="009005FB" w14:paraId="5A2F16A7"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127227AF" w14:textId="77777777" w:rsidR="00ED56B7" w:rsidRPr="009005FB" w:rsidRDefault="00ED56B7" w:rsidP="001149AD">
            <w:pPr>
              <w:widowControl/>
              <w:rPr>
                <w:color w:val="000000"/>
                <w:szCs w:val="24"/>
              </w:rPr>
            </w:pPr>
            <w:r w:rsidRPr="009005FB">
              <w:rPr>
                <w:color w:val="000000"/>
                <w:szCs w:val="24"/>
              </w:rPr>
              <w:t>Slovenia</w:t>
            </w:r>
          </w:p>
        </w:tc>
        <w:tc>
          <w:tcPr>
            <w:tcW w:w="1337" w:type="dxa"/>
            <w:tcBorders>
              <w:top w:val="nil"/>
              <w:left w:val="nil"/>
              <w:bottom w:val="single" w:sz="8" w:space="0" w:color="auto"/>
              <w:right w:val="single" w:sz="8" w:space="0" w:color="auto"/>
            </w:tcBorders>
            <w:shd w:val="clear" w:color="auto" w:fill="auto"/>
            <w:vAlign w:val="center"/>
            <w:hideMark/>
          </w:tcPr>
          <w:p w14:paraId="4069138E" w14:textId="77777777" w:rsidR="00ED56B7" w:rsidRPr="009005FB" w:rsidRDefault="00ED56B7" w:rsidP="001149AD">
            <w:pPr>
              <w:widowControl/>
              <w:jc w:val="center"/>
              <w:rPr>
                <w:color w:val="000000"/>
                <w:szCs w:val="24"/>
              </w:rPr>
            </w:pPr>
            <w:r w:rsidRPr="009005FB">
              <w:rPr>
                <w:color w:val="000000"/>
                <w:szCs w:val="24"/>
              </w:rPr>
              <w:t>2064188</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1A200428" w14:textId="77777777" w:rsidR="00ED56B7" w:rsidRPr="009005FB" w:rsidRDefault="00ED56B7" w:rsidP="001149AD">
            <w:pPr>
              <w:widowControl/>
              <w:jc w:val="center"/>
              <w:rPr>
                <w:color w:val="000000"/>
                <w:szCs w:val="24"/>
              </w:rPr>
            </w:pPr>
            <w:r w:rsidRPr="009005FB">
              <w:rPr>
                <w:color w:val="000000"/>
                <w:szCs w:val="24"/>
              </w:rPr>
              <w:t>8</w:t>
            </w:r>
          </w:p>
        </w:tc>
        <w:tc>
          <w:tcPr>
            <w:tcW w:w="1673" w:type="dxa"/>
            <w:tcBorders>
              <w:top w:val="nil"/>
              <w:left w:val="nil"/>
              <w:bottom w:val="single" w:sz="4" w:space="0" w:color="auto"/>
              <w:right w:val="single" w:sz="4" w:space="0" w:color="auto"/>
            </w:tcBorders>
            <w:shd w:val="clear" w:color="auto" w:fill="auto"/>
            <w:noWrap/>
            <w:vAlign w:val="bottom"/>
            <w:hideMark/>
          </w:tcPr>
          <w:p w14:paraId="594C36A4" w14:textId="77777777" w:rsidR="00ED56B7" w:rsidRPr="009005FB" w:rsidRDefault="00ED56B7" w:rsidP="001149AD">
            <w:pPr>
              <w:widowControl/>
              <w:jc w:val="right"/>
              <w:rPr>
                <w:color w:val="000000"/>
                <w:szCs w:val="24"/>
              </w:rPr>
            </w:pPr>
            <w:r w:rsidRPr="009005FB">
              <w:rPr>
                <w:color w:val="000000"/>
                <w:szCs w:val="24"/>
              </w:rPr>
              <w:t>258024</w:t>
            </w:r>
          </w:p>
        </w:tc>
        <w:tc>
          <w:tcPr>
            <w:tcW w:w="1470" w:type="dxa"/>
            <w:tcBorders>
              <w:top w:val="nil"/>
              <w:left w:val="nil"/>
              <w:bottom w:val="single" w:sz="4" w:space="0" w:color="auto"/>
              <w:right w:val="single" w:sz="4" w:space="0" w:color="auto"/>
            </w:tcBorders>
            <w:shd w:val="clear" w:color="auto" w:fill="auto"/>
            <w:vAlign w:val="center"/>
            <w:hideMark/>
          </w:tcPr>
          <w:p w14:paraId="5BD90FB0" w14:textId="77777777" w:rsidR="00ED56B7" w:rsidRPr="009005FB" w:rsidRDefault="00ED56B7" w:rsidP="001149AD">
            <w:pPr>
              <w:widowControl/>
              <w:jc w:val="center"/>
              <w:rPr>
                <w:color w:val="000000"/>
                <w:szCs w:val="24"/>
              </w:rPr>
            </w:pPr>
            <w:r w:rsidRPr="009005FB">
              <w:rPr>
                <w:color w:val="000000"/>
                <w:szCs w:val="24"/>
              </w:rPr>
              <w:t>8</w:t>
            </w:r>
          </w:p>
        </w:tc>
        <w:tc>
          <w:tcPr>
            <w:tcW w:w="1559" w:type="dxa"/>
            <w:tcBorders>
              <w:top w:val="nil"/>
              <w:left w:val="nil"/>
              <w:bottom w:val="single" w:sz="4" w:space="0" w:color="auto"/>
              <w:right w:val="single" w:sz="4" w:space="0" w:color="auto"/>
            </w:tcBorders>
            <w:shd w:val="clear" w:color="auto" w:fill="auto"/>
            <w:noWrap/>
            <w:vAlign w:val="bottom"/>
            <w:hideMark/>
          </w:tcPr>
          <w:p w14:paraId="313BB22C" w14:textId="77777777" w:rsidR="00ED56B7" w:rsidRPr="009005FB" w:rsidRDefault="00ED56B7" w:rsidP="001149AD">
            <w:pPr>
              <w:widowControl/>
              <w:jc w:val="right"/>
              <w:rPr>
                <w:color w:val="000000"/>
                <w:szCs w:val="24"/>
              </w:rPr>
            </w:pPr>
            <w:r w:rsidRPr="009005FB">
              <w:rPr>
                <w:color w:val="000000"/>
                <w:szCs w:val="24"/>
              </w:rPr>
              <w:t>258024</w:t>
            </w:r>
          </w:p>
        </w:tc>
      </w:tr>
      <w:tr w:rsidR="00ED56B7" w:rsidRPr="009005FB" w14:paraId="42A9F705"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5B84E83F" w14:textId="77777777" w:rsidR="00ED56B7" w:rsidRPr="009005FB" w:rsidRDefault="00ED56B7" w:rsidP="001149AD">
            <w:pPr>
              <w:widowControl/>
              <w:rPr>
                <w:color w:val="000000"/>
                <w:szCs w:val="24"/>
              </w:rPr>
            </w:pPr>
            <w:r w:rsidRPr="009005FB">
              <w:rPr>
                <w:color w:val="000000"/>
                <w:szCs w:val="24"/>
              </w:rPr>
              <w:t>Latvia</w:t>
            </w:r>
          </w:p>
        </w:tc>
        <w:tc>
          <w:tcPr>
            <w:tcW w:w="1337" w:type="dxa"/>
            <w:tcBorders>
              <w:top w:val="nil"/>
              <w:left w:val="nil"/>
              <w:bottom w:val="single" w:sz="8" w:space="0" w:color="auto"/>
              <w:right w:val="single" w:sz="8" w:space="0" w:color="auto"/>
            </w:tcBorders>
            <w:shd w:val="clear" w:color="auto" w:fill="auto"/>
            <w:vAlign w:val="center"/>
            <w:hideMark/>
          </w:tcPr>
          <w:p w14:paraId="14CEA217" w14:textId="77777777" w:rsidR="00ED56B7" w:rsidRPr="009005FB" w:rsidRDefault="00ED56B7" w:rsidP="001149AD">
            <w:pPr>
              <w:widowControl/>
              <w:jc w:val="center"/>
              <w:rPr>
                <w:color w:val="000000"/>
                <w:szCs w:val="24"/>
              </w:rPr>
            </w:pPr>
            <w:r w:rsidRPr="009005FB">
              <w:rPr>
                <w:color w:val="000000"/>
                <w:szCs w:val="24"/>
              </w:rPr>
              <w:t>1968957</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562D00BB" w14:textId="77777777" w:rsidR="00ED56B7" w:rsidRPr="009005FB" w:rsidRDefault="00ED56B7" w:rsidP="001149AD">
            <w:pPr>
              <w:widowControl/>
              <w:jc w:val="center"/>
              <w:rPr>
                <w:color w:val="000000"/>
                <w:szCs w:val="24"/>
              </w:rPr>
            </w:pPr>
            <w:r w:rsidRPr="009005FB">
              <w:rPr>
                <w:color w:val="000000"/>
                <w:szCs w:val="24"/>
              </w:rPr>
              <w:t>8</w:t>
            </w:r>
          </w:p>
        </w:tc>
        <w:tc>
          <w:tcPr>
            <w:tcW w:w="1673" w:type="dxa"/>
            <w:tcBorders>
              <w:top w:val="nil"/>
              <w:left w:val="nil"/>
              <w:bottom w:val="single" w:sz="4" w:space="0" w:color="auto"/>
              <w:right w:val="single" w:sz="4" w:space="0" w:color="auto"/>
            </w:tcBorders>
            <w:shd w:val="clear" w:color="auto" w:fill="auto"/>
            <w:noWrap/>
            <w:vAlign w:val="bottom"/>
            <w:hideMark/>
          </w:tcPr>
          <w:p w14:paraId="1781DE80" w14:textId="77777777" w:rsidR="00ED56B7" w:rsidRPr="009005FB" w:rsidRDefault="00ED56B7" w:rsidP="001149AD">
            <w:pPr>
              <w:widowControl/>
              <w:jc w:val="right"/>
              <w:rPr>
                <w:color w:val="000000"/>
                <w:szCs w:val="24"/>
              </w:rPr>
            </w:pPr>
            <w:r w:rsidRPr="009005FB">
              <w:rPr>
                <w:color w:val="000000"/>
                <w:szCs w:val="24"/>
              </w:rPr>
              <w:t>246120</w:t>
            </w:r>
          </w:p>
        </w:tc>
        <w:tc>
          <w:tcPr>
            <w:tcW w:w="1470" w:type="dxa"/>
            <w:tcBorders>
              <w:top w:val="nil"/>
              <w:left w:val="nil"/>
              <w:bottom w:val="single" w:sz="4" w:space="0" w:color="auto"/>
              <w:right w:val="single" w:sz="4" w:space="0" w:color="auto"/>
            </w:tcBorders>
            <w:shd w:val="clear" w:color="auto" w:fill="auto"/>
            <w:vAlign w:val="center"/>
            <w:hideMark/>
          </w:tcPr>
          <w:p w14:paraId="6C41A2CC" w14:textId="77777777" w:rsidR="00ED56B7" w:rsidRPr="009005FB" w:rsidRDefault="00ED56B7" w:rsidP="001149AD">
            <w:pPr>
              <w:widowControl/>
              <w:jc w:val="center"/>
              <w:rPr>
                <w:color w:val="000000"/>
                <w:szCs w:val="24"/>
              </w:rPr>
            </w:pPr>
            <w:r w:rsidRPr="009005FB">
              <w:rPr>
                <w:color w:val="000000"/>
                <w:szCs w:val="24"/>
              </w:rPr>
              <w:t>8</w:t>
            </w:r>
          </w:p>
        </w:tc>
        <w:tc>
          <w:tcPr>
            <w:tcW w:w="1559" w:type="dxa"/>
            <w:tcBorders>
              <w:top w:val="nil"/>
              <w:left w:val="nil"/>
              <w:bottom w:val="single" w:sz="4" w:space="0" w:color="auto"/>
              <w:right w:val="single" w:sz="4" w:space="0" w:color="auto"/>
            </w:tcBorders>
            <w:shd w:val="clear" w:color="auto" w:fill="auto"/>
            <w:noWrap/>
            <w:vAlign w:val="bottom"/>
            <w:hideMark/>
          </w:tcPr>
          <w:p w14:paraId="2D0F6532" w14:textId="77777777" w:rsidR="00ED56B7" w:rsidRPr="009005FB" w:rsidRDefault="00ED56B7" w:rsidP="001149AD">
            <w:pPr>
              <w:widowControl/>
              <w:jc w:val="right"/>
              <w:rPr>
                <w:color w:val="000000"/>
                <w:szCs w:val="24"/>
              </w:rPr>
            </w:pPr>
            <w:r w:rsidRPr="009005FB">
              <w:rPr>
                <w:color w:val="000000"/>
                <w:szCs w:val="24"/>
              </w:rPr>
              <w:t>246120</w:t>
            </w:r>
          </w:p>
        </w:tc>
      </w:tr>
      <w:tr w:rsidR="00ED56B7" w:rsidRPr="009005FB" w14:paraId="157DDBC3"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0D765C14" w14:textId="77777777" w:rsidR="00ED56B7" w:rsidRPr="009005FB" w:rsidRDefault="00ED56B7" w:rsidP="001149AD">
            <w:pPr>
              <w:widowControl/>
              <w:rPr>
                <w:color w:val="000000"/>
                <w:szCs w:val="24"/>
              </w:rPr>
            </w:pPr>
            <w:r w:rsidRPr="009005FB">
              <w:rPr>
                <w:color w:val="000000"/>
                <w:szCs w:val="24"/>
              </w:rPr>
              <w:t>Estonia</w:t>
            </w:r>
          </w:p>
        </w:tc>
        <w:tc>
          <w:tcPr>
            <w:tcW w:w="1337" w:type="dxa"/>
            <w:tcBorders>
              <w:top w:val="nil"/>
              <w:left w:val="nil"/>
              <w:bottom w:val="single" w:sz="8" w:space="0" w:color="auto"/>
              <w:right w:val="single" w:sz="8" w:space="0" w:color="auto"/>
            </w:tcBorders>
            <w:shd w:val="clear" w:color="auto" w:fill="auto"/>
            <w:vAlign w:val="center"/>
            <w:hideMark/>
          </w:tcPr>
          <w:p w14:paraId="10B715E7" w14:textId="77777777" w:rsidR="00ED56B7" w:rsidRPr="009005FB" w:rsidRDefault="00ED56B7" w:rsidP="001149AD">
            <w:pPr>
              <w:widowControl/>
              <w:jc w:val="center"/>
              <w:rPr>
                <w:color w:val="000000"/>
                <w:szCs w:val="24"/>
              </w:rPr>
            </w:pPr>
            <w:r w:rsidRPr="009005FB">
              <w:rPr>
                <w:color w:val="000000"/>
                <w:szCs w:val="24"/>
              </w:rPr>
              <w:t>1315944</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5ACFFFF4" w14:textId="77777777" w:rsidR="00ED56B7" w:rsidRPr="009005FB" w:rsidRDefault="00ED56B7" w:rsidP="001149AD">
            <w:pPr>
              <w:widowControl/>
              <w:jc w:val="center"/>
              <w:rPr>
                <w:color w:val="000000"/>
                <w:szCs w:val="24"/>
              </w:rPr>
            </w:pPr>
            <w:r w:rsidRPr="009005FB">
              <w:rPr>
                <w:color w:val="000000"/>
                <w:szCs w:val="24"/>
              </w:rPr>
              <w:t>6</w:t>
            </w:r>
          </w:p>
        </w:tc>
        <w:tc>
          <w:tcPr>
            <w:tcW w:w="1673" w:type="dxa"/>
            <w:tcBorders>
              <w:top w:val="nil"/>
              <w:left w:val="nil"/>
              <w:bottom w:val="single" w:sz="4" w:space="0" w:color="auto"/>
              <w:right w:val="single" w:sz="4" w:space="0" w:color="auto"/>
            </w:tcBorders>
            <w:shd w:val="clear" w:color="auto" w:fill="auto"/>
            <w:noWrap/>
            <w:vAlign w:val="bottom"/>
            <w:hideMark/>
          </w:tcPr>
          <w:p w14:paraId="789B26F4" w14:textId="77777777" w:rsidR="00ED56B7" w:rsidRPr="009005FB" w:rsidRDefault="00ED56B7" w:rsidP="001149AD">
            <w:pPr>
              <w:widowControl/>
              <w:jc w:val="right"/>
              <w:rPr>
                <w:color w:val="000000"/>
                <w:szCs w:val="24"/>
              </w:rPr>
            </w:pPr>
            <w:r w:rsidRPr="009005FB">
              <w:rPr>
                <w:color w:val="000000"/>
                <w:szCs w:val="24"/>
              </w:rPr>
              <w:t>219324</w:t>
            </w:r>
          </w:p>
        </w:tc>
        <w:tc>
          <w:tcPr>
            <w:tcW w:w="1470" w:type="dxa"/>
            <w:tcBorders>
              <w:top w:val="nil"/>
              <w:left w:val="nil"/>
              <w:bottom w:val="single" w:sz="4" w:space="0" w:color="auto"/>
              <w:right w:val="single" w:sz="4" w:space="0" w:color="auto"/>
            </w:tcBorders>
            <w:shd w:val="clear" w:color="auto" w:fill="auto"/>
            <w:vAlign w:val="center"/>
            <w:hideMark/>
          </w:tcPr>
          <w:p w14:paraId="73324D62" w14:textId="77777777" w:rsidR="00ED56B7" w:rsidRPr="009005FB" w:rsidRDefault="00ED56B7" w:rsidP="001149AD">
            <w:pPr>
              <w:widowControl/>
              <w:jc w:val="center"/>
              <w:rPr>
                <w:color w:val="000000"/>
                <w:szCs w:val="24"/>
              </w:rPr>
            </w:pPr>
            <w:r w:rsidRPr="009005FB">
              <w:rPr>
                <w:color w:val="000000"/>
                <w:szCs w:val="24"/>
              </w:rPr>
              <w:t>7</w:t>
            </w:r>
          </w:p>
        </w:tc>
        <w:tc>
          <w:tcPr>
            <w:tcW w:w="1559" w:type="dxa"/>
            <w:tcBorders>
              <w:top w:val="nil"/>
              <w:left w:val="nil"/>
              <w:bottom w:val="single" w:sz="4" w:space="0" w:color="auto"/>
              <w:right w:val="single" w:sz="4" w:space="0" w:color="auto"/>
            </w:tcBorders>
            <w:shd w:val="clear" w:color="auto" w:fill="auto"/>
            <w:noWrap/>
            <w:vAlign w:val="bottom"/>
            <w:hideMark/>
          </w:tcPr>
          <w:p w14:paraId="6BCF946C" w14:textId="77777777" w:rsidR="00ED56B7" w:rsidRPr="009005FB" w:rsidRDefault="00ED56B7" w:rsidP="001149AD">
            <w:pPr>
              <w:widowControl/>
              <w:jc w:val="right"/>
              <w:rPr>
                <w:color w:val="000000"/>
                <w:szCs w:val="24"/>
              </w:rPr>
            </w:pPr>
            <w:r w:rsidRPr="009005FB">
              <w:rPr>
                <w:color w:val="000000"/>
                <w:szCs w:val="24"/>
              </w:rPr>
              <w:t>187992</w:t>
            </w:r>
          </w:p>
        </w:tc>
      </w:tr>
      <w:tr w:rsidR="00ED56B7" w:rsidRPr="009005FB" w14:paraId="7720020B" w14:textId="77777777" w:rsidTr="001149AD">
        <w:trPr>
          <w:trHeight w:val="315"/>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18648A4E" w14:textId="77777777" w:rsidR="00ED56B7" w:rsidRPr="009005FB" w:rsidRDefault="00ED56B7" w:rsidP="001149AD">
            <w:pPr>
              <w:widowControl/>
              <w:rPr>
                <w:color w:val="000000"/>
                <w:szCs w:val="24"/>
              </w:rPr>
            </w:pPr>
            <w:r w:rsidRPr="009005FB">
              <w:rPr>
                <w:color w:val="000000"/>
                <w:szCs w:val="24"/>
              </w:rPr>
              <w:t>Cyprus</w:t>
            </w:r>
          </w:p>
        </w:tc>
        <w:tc>
          <w:tcPr>
            <w:tcW w:w="1337" w:type="dxa"/>
            <w:tcBorders>
              <w:top w:val="nil"/>
              <w:left w:val="nil"/>
              <w:bottom w:val="single" w:sz="8" w:space="0" w:color="auto"/>
              <w:right w:val="single" w:sz="8" w:space="0" w:color="auto"/>
            </w:tcBorders>
            <w:shd w:val="clear" w:color="auto" w:fill="auto"/>
            <w:vAlign w:val="center"/>
            <w:hideMark/>
          </w:tcPr>
          <w:p w14:paraId="641A8A3B" w14:textId="77777777" w:rsidR="00ED56B7" w:rsidRPr="009005FB" w:rsidRDefault="00ED56B7" w:rsidP="001149AD">
            <w:pPr>
              <w:widowControl/>
              <w:jc w:val="center"/>
              <w:rPr>
                <w:color w:val="000000"/>
                <w:szCs w:val="24"/>
              </w:rPr>
            </w:pPr>
            <w:r w:rsidRPr="009005FB">
              <w:rPr>
                <w:color w:val="000000"/>
                <w:szCs w:val="24"/>
              </w:rPr>
              <w:t>848319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6935E69A" w14:textId="77777777" w:rsidR="00ED56B7" w:rsidRPr="009005FB" w:rsidRDefault="00ED56B7" w:rsidP="001149AD">
            <w:pPr>
              <w:widowControl/>
              <w:jc w:val="center"/>
              <w:rPr>
                <w:color w:val="000000"/>
                <w:szCs w:val="24"/>
              </w:rPr>
            </w:pPr>
            <w:r w:rsidRPr="009005FB">
              <w:rPr>
                <w:color w:val="000000"/>
                <w:szCs w:val="24"/>
              </w:rPr>
              <w:t>6</w:t>
            </w:r>
          </w:p>
        </w:tc>
        <w:tc>
          <w:tcPr>
            <w:tcW w:w="1673" w:type="dxa"/>
            <w:tcBorders>
              <w:top w:val="nil"/>
              <w:left w:val="nil"/>
              <w:bottom w:val="single" w:sz="4" w:space="0" w:color="auto"/>
              <w:right w:val="single" w:sz="4" w:space="0" w:color="auto"/>
            </w:tcBorders>
            <w:shd w:val="clear" w:color="auto" w:fill="auto"/>
            <w:noWrap/>
            <w:vAlign w:val="bottom"/>
            <w:hideMark/>
          </w:tcPr>
          <w:p w14:paraId="53DC94BC" w14:textId="77777777" w:rsidR="00ED56B7" w:rsidRPr="009005FB" w:rsidRDefault="00ED56B7" w:rsidP="001149AD">
            <w:pPr>
              <w:widowControl/>
              <w:jc w:val="right"/>
              <w:rPr>
                <w:color w:val="000000"/>
                <w:szCs w:val="24"/>
              </w:rPr>
            </w:pPr>
            <w:r w:rsidRPr="009005FB">
              <w:rPr>
                <w:color w:val="000000"/>
                <w:szCs w:val="24"/>
              </w:rPr>
              <w:t>141387</w:t>
            </w:r>
          </w:p>
        </w:tc>
        <w:tc>
          <w:tcPr>
            <w:tcW w:w="1470" w:type="dxa"/>
            <w:tcBorders>
              <w:top w:val="nil"/>
              <w:left w:val="nil"/>
              <w:bottom w:val="single" w:sz="4" w:space="0" w:color="auto"/>
              <w:right w:val="single" w:sz="4" w:space="0" w:color="auto"/>
            </w:tcBorders>
            <w:shd w:val="clear" w:color="auto" w:fill="auto"/>
            <w:vAlign w:val="center"/>
            <w:hideMark/>
          </w:tcPr>
          <w:p w14:paraId="5042D4A0" w14:textId="77777777" w:rsidR="00ED56B7" w:rsidRPr="009005FB" w:rsidRDefault="00ED56B7" w:rsidP="001149AD">
            <w:pPr>
              <w:widowControl/>
              <w:jc w:val="center"/>
              <w:rPr>
                <w:color w:val="000000"/>
                <w:szCs w:val="24"/>
              </w:rPr>
            </w:pPr>
            <w:r w:rsidRPr="009005FB">
              <w:rPr>
                <w:color w:val="000000"/>
                <w:szCs w:val="24"/>
              </w:rPr>
              <w:t>6</w:t>
            </w:r>
          </w:p>
        </w:tc>
        <w:tc>
          <w:tcPr>
            <w:tcW w:w="1559" w:type="dxa"/>
            <w:tcBorders>
              <w:top w:val="nil"/>
              <w:left w:val="nil"/>
              <w:bottom w:val="single" w:sz="4" w:space="0" w:color="auto"/>
              <w:right w:val="single" w:sz="4" w:space="0" w:color="auto"/>
            </w:tcBorders>
            <w:shd w:val="clear" w:color="auto" w:fill="auto"/>
            <w:noWrap/>
            <w:vAlign w:val="bottom"/>
            <w:hideMark/>
          </w:tcPr>
          <w:p w14:paraId="2EE3E048" w14:textId="77777777" w:rsidR="00ED56B7" w:rsidRPr="009005FB" w:rsidRDefault="00ED56B7" w:rsidP="001149AD">
            <w:pPr>
              <w:widowControl/>
              <w:jc w:val="right"/>
              <w:rPr>
                <w:color w:val="000000"/>
                <w:szCs w:val="24"/>
              </w:rPr>
            </w:pPr>
            <w:r w:rsidRPr="009005FB">
              <w:rPr>
                <w:color w:val="000000"/>
                <w:szCs w:val="24"/>
              </w:rPr>
              <w:t>141387</w:t>
            </w:r>
          </w:p>
        </w:tc>
      </w:tr>
      <w:tr w:rsidR="00ED56B7" w:rsidRPr="009005FB" w14:paraId="37B4A253" w14:textId="77777777" w:rsidTr="001149AD">
        <w:trPr>
          <w:trHeight w:val="251"/>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21FB62AC" w14:textId="77777777" w:rsidR="00ED56B7" w:rsidRPr="009005FB" w:rsidRDefault="00ED56B7" w:rsidP="001149AD">
            <w:pPr>
              <w:widowControl/>
              <w:rPr>
                <w:color w:val="000000"/>
                <w:szCs w:val="24"/>
              </w:rPr>
            </w:pPr>
            <w:r w:rsidRPr="009005FB">
              <w:rPr>
                <w:color w:val="000000"/>
                <w:szCs w:val="24"/>
              </w:rPr>
              <w:t>Luxembourg</w:t>
            </w:r>
          </w:p>
        </w:tc>
        <w:tc>
          <w:tcPr>
            <w:tcW w:w="1337" w:type="dxa"/>
            <w:tcBorders>
              <w:top w:val="nil"/>
              <w:left w:val="nil"/>
              <w:bottom w:val="single" w:sz="8" w:space="0" w:color="auto"/>
              <w:right w:val="single" w:sz="8" w:space="0" w:color="auto"/>
            </w:tcBorders>
            <w:shd w:val="clear" w:color="auto" w:fill="auto"/>
            <w:vAlign w:val="center"/>
            <w:hideMark/>
          </w:tcPr>
          <w:p w14:paraId="440531EE" w14:textId="77777777" w:rsidR="00ED56B7" w:rsidRPr="009005FB" w:rsidRDefault="00ED56B7" w:rsidP="001149AD">
            <w:pPr>
              <w:widowControl/>
              <w:jc w:val="center"/>
              <w:rPr>
                <w:color w:val="000000"/>
                <w:szCs w:val="24"/>
              </w:rPr>
            </w:pPr>
            <w:r w:rsidRPr="009005FB">
              <w:rPr>
                <w:color w:val="000000"/>
                <w:szCs w:val="24"/>
              </w:rPr>
              <w:t>576249</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16596250" w14:textId="77777777" w:rsidR="00ED56B7" w:rsidRPr="009005FB" w:rsidRDefault="00ED56B7" w:rsidP="001149AD">
            <w:pPr>
              <w:widowControl/>
              <w:jc w:val="center"/>
              <w:rPr>
                <w:color w:val="000000"/>
                <w:szCs w:val="24"/>
              </w:rPr>
            </w:pPr>
            <w:r w:rsidRPr="009005FB">
              <w:rPr>
                <w:color w:val="000000"/>
                <w:szCs w:val="24"/>
              </w:rPr>
              <w:t>6</w:t>
            </w:r>
          </w:p>
        </w:tc>
        <w:tc>
          <w:tcPr>
            <w:tcW w:w="1673" w:type="dxa"/>
            <w:tcBorders>
              <w:top w:val="nil"/>
              <w:left w:val="nil"/>
              <w:bottom w:val="single" w:sz="4" w:space="0" w:color="auto"/>
              <w:right w:val="single" w:sz="4" w:space="0" w:color="auto"/>
            </w:tcBorders>
            <w:shd w:val="clear" w:color="auto" w:fill="auto"/>
            <w:noWrap/>
            <w:vAlign w:val="bottom"/>
            <w:hideMark/>
          </w:tcPr>
          <w:p w14:paraId="7E1D4B49" w14:textId="77777777" w:rsidR="00ED56B7" w:rsidRPr="009005FB" w:rsidRDefault="00ED56B7" w:rsidP="001149AD">
            <w:pPr>
              <w:widowControl/>
              <w:jc w:val="right"/>
              <w:rPr>
                <w:color w:val="000000"/>
                <w:szCs w:val="24"/>
              </w:rPr>
            </w:pPr>
            <w:r w:rsidRPr="009005FB">
              <w:rPr>
                <w:color w:val="000000"/>
                <w:szCs w:val="24"/>
              </w:rPr>
              <w:t>96042</w:t>
            </w:r>
          </w:p>
        </w:tc>
        <w:tc>
          <w:tcPr>
            <w:tcW w:w="1470" w:type="dxa"/>
            <w:tcBorders>
              <w:top w:val="nil"/>
              <w:left w:val="nil"/>
              <w:bottom w:val="single" w:sz="4" w:space="0" w:color="auto"/>
              <w:right w:val="single" w:sz="4" w:space="0" w:color="auto"/>
            </w:tcBorders>
            <w:shd w:val="clear" w:color="auto" w:fill="auto"/>
            <w:vAlign w:val="center"/>
            <w:hideMark/>
          </w:tcPr>
          <w:p w14:paraId="44DE2083" w14:textId="77777777" w:rsidR="00ED56B7" w:rsidRPr="009005FB" w:rsidRDefault="00ED56B7" w:rsidP="001149AD">
            <w:pPr>
              <w:widowControl/>
              <w:jc w:val="center"/>
              <w:rPr>
                <w:color w:val="000000"/>
                <w:szCs w:val="24"/>
              </w:rPr>
            </w:pPr>
            <w:r w:rsidRPr="009005FB">
              <w:rPr>
                <w:color w:val="000000"/>
                <w:szCs w:val="24"/>
              </w:rPr>
              <w:t>6</w:t>
            </w:r>
          </w:p>
        </w:tc>
        <w:tc>
          <w:tcPr>
            <w:tcW w:w="1559" w:type="dxa"/>
            <w:tcBorders>
              <w:top w:val="nil"/>
              <w:left w:val="nil"/>
              <w:bottom w:val="single" w:sz="4" w:space="0" w:color="auto"/>
              <w:right w:val="single" w:sz="4" w:space="0" w:color="auto"/>
            </w:tcBorders>
            <w:shd w:val="clear" w:color="auto" w:fill="auto"/>
            <w:noWrap/>
            <w:vAlign w:val="bottom"/>
            <w:hideMark/>
          </w:tcPr>
          <w:p w14:paraId="18921822" w14:textId="77777777" w:rsidR="00ED56B7" w:rsidRPr="009005FB" w:rsidRDefault="00ED56B7" w:rsidP="001149AD">
            <w:pPr>
              <w:widowControl/>
              <w:jc w:val="right"/>
              <w:rPr>
                <w:color w:val="000000"/>
                <w:szCs w:val="24"/>
              </w:rPr>
            </w:pPr>
            <w:r w:rsidRPr="009005FB">
              <w:rPr>
                <w:color w:val="000000"/>
                <w:szCs w:val="24"/>
              </w:rPr>
              <w:t>96042</w:t>
            </w:r>
          </w:p>
        </w:tc>
      </w:tr>
      <w:tr w:rsidR="00ED56B7" w:rsidRPr="009005FB" w14:paraId="54595580" w14:textId="77777777" w:rsidTr="001149AD">
        <w:trPr>
          <w:trHeight w:val="315"/>
        </w:trPr>
        <w:tc>
          <w:tcPr>
            <w:tcW w:w="1456" w:type="dxa"/>
            <w:tcBorders>
              <w:top w:val="nil"/>
              <w:left w:val="single" w:sz="8" w:space="0" w:color="auto"/>
              <w:bottom w:val="single" w:sz="4" w:space="0" w:color="auto"/>
              <w:right w:val="single" w:sz="8" w:space="0" w:color="auto"/>
            </w:tcBorders>
            <w:shd w:val="clear" w:color="auto" w:fill="auto"/>
            <w:vAlign w:val="center"/>
            <w:hideMark/>
          </w:tcPr>
          <w:p w14:paraId="27C4190E" w14:textId="77777777" w:rsidR="00ED56B7" w:rsidRPr="009005FB" w:rsidRDefault="00ED56B7" w:rsidP="001149AD">
            <w:pPr>
              <w:widowControl/>
              <w:rPr>
                <w:color w:val="000000"/>
                <w:szCs w:val="24"/>
              </w:rPr>
            </w:pPr>
            <w:r w:rsidRPr="009005FB">
              <w:rPr>
                <w:color w:val="000000"/>
                <w:szCs w:val="24"/>
              </w:rPr>
              <w:t>Malta</w:t>
            </w:r>
          </w:p>
        </w:tc>
        <w:tc>
          <w:tcPr>
            <w:tcW w:w="1337" w:type="dxa"/>
            <w:tcBorders>
              <w:top w:val="nil"/>
              <w:left w:val="nil"/>
              <w:bottom w:val="single" w:sz="4" w:space="0" w:color="auto"/>
              <w:right w:val="single" w:sz="8" w:space="0" w:color="auto"/>
            </w:tcBorders>
            <w:shd w:val="clear" w:color="auto" w:fill="auto"/>
            <w:vAlign w:val="center"/>
            <w:hideMark/>
          </w:tcPr>
          <w:p w14:paraId="2901EBD4" w14:textId="77777777" w:rsidR="00ED56B7" w:rsidRPr="009005FB" w:rsidRDefault="00ED56B7" w:rsidP="001149AD">
            <w:pPr>
              <w:widowControl/>
              <w:jc w:val="center"/>
              <w:rPr>
                <w:color w:val="000000"/>
                <w:szCs w:val="24"/>
              </w:rPr>
            </w:pPr>
            <w:r w:rsidRPr="009005FB">
              <w:rPr>
                <w:color w:val="000000"/>
                <w:szCs w:val="24"/>
              </w:rPr>
              <w:t>434403</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14:paraId="49C0F144" w14:textId="77777777" w:rsidR="00ED56B7" w:rsidRPr="009005FB" w:rsidRDefault="00ED56B7" w:rsidP="001149AD">
            <w:pPr>
              <w:widowControl/>
              <w:jc w:val="center"/>
              <w:rPr>
                <w:color w:val="000000"/>
                <w:szCs w:val="24"/>
              </w:rPr>
            </w:pPr>
            <w:r w:rsidRPr="009005FB">
              <w:rPr>
                <w:color w:val="000000"/>
                <w:szCs w:val="24"/>
              </w:rPr>
              <w:t>6</w:t>
            </w:r>
          </w:p>
        </w:tc>
        <w:tc>
          <w:tcPr>
            <w:tcW w:w="1673" w:type="dxa"/>
            <w:tcBorders>
              <w:top w:val="nil"/>
              <w:left w:val="nil"/>
              <w:bottom w:val="single" w:sz="4" w:space="0" w:color="auto"/>
              <w:right w:val="single" w:sz="4" w:space="0" w:color="auto"/>
            </w:tcBorders>
            <w:shd w:val="clear" w:color="auto" w:fill="auto"/>
            <w:noWrap/>
            <w:vAlign w:val="bottom"/>
            <w:hideMark/>
          </w:tcPr>
          <w:p w14:paraId="09F4A1F6" w14:textId="77777777" w:rsidR="00ED56B7" w:rsidRPr="009005FB" w:rsidRDefault="00ED56B7" w:rsidP="001149AD">
            <w:pPr>
              <w:widowControl/>
              <w:jc w:val="right"/>
              <w:rPr>
                <w:color w:val="000000"/>
                <w:szCs w:val="24"/>
              </w:rPr>
            </w:pPr>
            <w:r w:rsidRPr="009005FB">
              <w:rPr>
                <w:color w:val="000000"/>
                <w:szCs w:val="24"/>
              </w:rPr>
              <w:t>72401</w:t>
            </w:r>
          </w:p>
        </w:tc>
        <w:tc>
          <w:tcPr>
            <w:tcW w:w="1470" w:type="dxa"/>
            <w:tcBorders>
              <w:top w:val="nil"/>
              <w:left w:val="nil"/>
              <w:bottom w:val="single" w:sz="4" w:space="0" w:color="auto"/>
              <w:right w:val="single" w:sz="4" w:space="0" w:color="auto"/>
            </w:tcBorders>
            <w:shd w:val="clear" w:color="auto" w:fill="auto"/>
            <w:vAlign w:val="center"/>
            <w:hideMark/>
          </w:tcPr>
          <w:p w14:paraId="08F60F32" w14:textId="77777777" w:rsidR="00ED56B7" w:rsidRPr="009005FB" w:rsidRDefault="00ED56B7" w:rsidP="001149AD">
            <w:pPr>
              <w:widowControl/>
              <w:jc w:val="center"/>
              <w:rPr>
                <w:color w:val="000000"/>
                <w:szCs w:val="24"/>
              </w:rPr>
            </w:pPr>
            <w:r w:rsidRPr="009005FB">
              <w:rPr>
                <w:color w:val="000000"/>
                <w:szCs w:val="24"/>
              </w:rPr>
              <w:t>6</w:t>
            </w:r>
          </w:p>
        </w:tc>
        <w:tc>
          <w:tcPr>
            <w:tcW w:w="1559" w:type="dxa"/>
            <w:tcBorders>
              <w:top w:val="nil"/>
              <w:left w:val="nil"/>
              <w:bottom w:val="single" w:sz="4" w:space="0" w:color="auto"/>
              <w:right w:val="single" w:sz="4" w:space="0" w:color="auto"/>
            </w:tcBorders>
            <w:shd w:val="clear" w:color="auto" w:fill="auto"/>
            <w:noWrap/>
            <w:vAlign w:val="bottom"/>
            <w:hideMark/>
          </w:tcPr>
          <w:p w14:paraId="62B1A6D0" w14:textId="77777777" w:rsidR="00ED56B7" w:rsidRPr="009005FB" w:rsidRDefault="00ED56B7" w:rsidP="001149AD">
            <w:pPr>
              <w:widowControl/>
              <w:jc w:val="right"/>
              <w:rPr>
                <w:color w:val="000000"/>
                <w:szCs w:val="24"/>
              </w:rPr>
            </w:pPr>
            <w:r w:rsidRPr="009005FB">
              <w:rPr>
                <w:color w:val="000000"/>
                <w:szCs w:val="24"/>
              </w:rPr>
              <w:t>72401</w:t>
            </w:r>
          </w:p>
        </w:tc>
      </w:tr>
      <w:tr w:rsidR="00ED56B7" w:rsidRPr="009005FB" w14:paraId="32BEC5D3" w14:textId="77777777" w:rsidTr="001149AD">
        <w:trPr>
          <w:trHeight w:val="315"/>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0231E479" w14:textId="77777777" w:rsidR="00ED56B7" w:rsidRPr="009005FB" w:rsidRDefault="00ED56B7" w:rsidP="001149AD">
            <w:pPr>
              <w:widowControl/>
              <w:rPr>
                <w:b/>
                <w:color w:val="000000"/>
                <w:szCs w:val="24"/>
              </w:rPr>
            </w:pPr>
            <w:r w:rsidRPr="009005FB">
              <w:rPr>
                <w:b/>
                <w:color w:val="000000"/>
                <w:szCs w:val="24"/>
              </w:rPr>
              <w:t>TOTAL</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4F16A8AF" w14:textId="77777777" w:rsidR="00ED56B7" w:rsidRPr="009005FB" w:rsidRDefault="00ED56B7" w:rsidP="001149AD">
            <w:pPr>
              <w:widowControl/>
              <w:jc w:val="center"/>
              <w:rPr>
                <w:b/>
                <w:color w:val="000000"/>
                <w:szCs w:val="24"/>
              </w:rPr>
            </w:pPr>
            <w:r w:rsidRPr="009005FB">
              <w:rPr>
                <w:b/>
                <w:color w:val="000000"/>
                <w:szCs w:val="24"/>
              </w:rPr>
              <w:t>510860699</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3521A4B" w14:textId="77777777" w:rsidR="00ED56B7" w:rsidRPr="009005FB" w:rsidRDefault="00ED56B7" w:rsidP="001149AD">
            <w:pPr>
              <w:widowControl/>
              <w:jc w:val="center"/>
              <w:rPr>
                <w:b/>
                <w:color w:val="000000"/>
                <w:szCs w:val="24"/>
              </w:rPr>
            </w:pPr>
            <w:r w:rsidRPr="009005FB">
              <w:rPr>
                <w:b/>
                <w:color w:val="000000"/>
                <w:szCs w:val="24"/>
              </w:rPr>
              <w:t>751</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77C1F" w14:textId="77777777" w:rsidR="00ED56B7" w:rsidRPr="009005FB" w:rsidRDefault="00ED56B7" w:rsidP="001149AD">
            <w:pPr>
              <w:widowControl/>
              <w:jc w:val="right"/>
              <w:rPr>
                <w:b/>
                <w:color w:val="000000"/>
                <w:szCs w:val="24"/>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2F19909" w14:textId="77777777" w:rsidR="00ED56B7" w:rsidRPr="009005FB" w:rsidRDefault="00ED56B7" w:rsidP="001149AD">
            <w:pPr>
              <w:widowControl/>
              <w:jc w:val="center"/>
              <w:rPr>
                <w:b/>
                <w:color w:val="000000"/>
                <w:szCs w:val="24"/>
              </w:rPr>
            </w:pPr>
            <w:r w:rsidRPr="009005FB">
              <w:rPr>
                <w:b/>
                <w:color w:val="000000"/>
                <w:szCs w:val="24"/>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8DE24" w14:textId="77777777" w:rsidR="00ED56B7" w:rsidRPr="009005FB" w:rsidRDefault="00ED56B7" w:rsidP="001149AD">
            <w:pPr>
              <w:widowControl/>
              <w:jc w:val="right"/>
              <w:rPr>
                <w:b/>
                <w:color w:val="000000"/>
                <w:szCs w:val="24"/>
              </w:rPr>
            </w:pPr>
          </w:p>
        </w:tc>
      </w:tr>
    </w:tbl>
    <w:p w14:paraId="5BB7F2B6" w14:textId="77777777" w:rsidR="00007EDE" w:rsidRPr="009005FB" w:rsidRDefault="00007EDE" w:rsidP="00ED56B7">
      <w:pPr>
        <w:pStyle w:val="TOC1"/>
        <w:tabs>
          <w:tab w:val="right" w:leader="dot" w:pos="9060"/>
        </w:tabs>
      </w:pPr>
    </w:p>
    <w:sectPr w:rsidR="00007EDE" w:rsidRPr="009005FB" w:rsidSect="00246FF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54B54" w14:textId="77777777" w:rsidR="00C978E3" w:rsidRPr="005B3914" w:rsidRDefault="00C978E3">
      <w:r w:rsidRPr="005B3914">
        <w:separator/>
      </w:r>
    </w:p>
  </w:endnote>
  <w:endnote w:type="continuationSeparator" w:id="0">
    <w:p w14:paraId="5EA82E33" w14:textId="77777777" w:rsidR="00C978E3" w:rsidRPr="005B3914" w:rsidRDefault="00C978E3">
      <w:r w:rsidRPr="005B39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7414" w14:textId="77777777" w:rsidR="00C978E3" w:rsidRPr="009052FF" w:rsidRDefault="00C978E3">
    <w:pPr>
      <w:pStyle w:val="Footer"/>
      <w:tabs>
        <w:tab w:val="right" w:pos="9356"/>
      </w:tabs>
      <w:rPr>
        <w:lang w:val="fr-FR"/>
      </w:rPr>
    </w:pPr>
    <w:r w:rsidRPr="005B3914">
      <w:fldChar w:fldCharType="begin"/>
    </w:r>
    <w:r w:rsidRPr="009052FF">
      <w:rPr>
        <w:lang w:val="fr-FR"/>
      </w:rPr>
      <w:instrText xml:space="preserve"> REF OutsideFooter </w:instrText>
    </w:r>
    <w:r w:rsidRPr="005B3914">
      <w:fldChar w:fldCharType="separate"/>
    </w:r>
    <w:r w:rsidR="00F67BD3" w:rsidRPr="00C2560F">
      <w:rPr>
        <w:lang w:val="fr-FR"/>
      </w:rPr>
      <w:t>PE</w:t>
    </w:r>
    <w:r w:rsidR="00F67BD3" w:rsidRPr="00C2560F">
      <w:rPr>
        <w:rStyle w:val="HideTWBExt"/>
        <w:noProof w:val="0"/>
        <w:lang w:val="fr-FR"/>
      </w:rPr>
      <w:t>&lt;NoPE&gt;</w:t>
    </w:r>
    <w:r w:rsidR="00F67BD3" w:rsidRPr="00C2560F">
      <w:rPr>
        <w:lang w:val="fr-FR"/>
      </w:rPr>
      <w:t>608.038</w:t>
    </w:r>
    <w:r w:rsidR="00F67BD3" w:rsidRPr="00C2560F">
      <w:rPr>
        <w:rStyle w:val="HideTWBExt"/>
        <w:noProof w:val="0"/>
        <w:lang w:val="fr-FR"/>
      </w:rPr>
      <w:t>&lt;/NoPE&gt;&lt;Version&gt;</w:t>
    </w:r>
    <w:r w:rsidR="00F67BD3" w:rsidRPr="00C2560F">
      <w:rPr>
        <w:lang w:val="fr-FR"/>
      </w:rPr>
      <w:t>v01-00</w:t>
    </w:r>
    <w:r w:rsidR="00F67BD3" w:rsidRPr="00C2560F">
      <w:rPr>
        <w:rStyle w:val="HideTWBExt"/>
        <w:noProof w:val="0"/>
        <w:lang w:val="fr-FR"/>
      </w:rPr>
      <w:t>&lt;/Version&gt;</w:t>
    </w:r>
    <w:r w:rsidRPr="005B3914">
      <w:fldChar w:fldCharType="end"/>
    </w:r>
    <w:r w:rsidRPr="009052FF">
      <w:rPr>
        <w:lang w:val="fr-FR"/>
      </w:rPr>
      <w:tab/>
    </w:r>
    <w:r w:rsidRPr="005B3914">
      <w:fldChar w:fldCharType="begin"/>
    </w:r>
    <w:r w:rsidRPr="009052FF">
      <w:rPr>
        <w:lang w:val="fr-FR"/>
      </w:rPr>
      <w:instrText xml:space="preserve"> PAGE </w:instrText>
    </w:r>
    <w:r w:rsidRPr="005B3914">
      <w:fldChar w:fldCharType="separate"/>
    </w:r>
    <w:r w:rsidR="00C2560F">
      <w:rPr>
        <w:noProof/>
        <w:lang w:val="fr-FR"/>
      </w:rPr>
      <w:t>2</w:t>
    </w:r>
    <w:r w:rsidRPr="005B3914">
      <w:fldChar w:fldCharType="end"/>
    </w:r>
    <w:r w:rsidRPr="009052FF">
      <w:rPr>
        <w:lang w:val="fr-FR"/>
      </w:rPr>
      <w:t>/</w:t>
    </w:r>
    <w:r w:rsidRPr="005B3914">
      <w:fldChar w:fldCharType="begin"/>
    </w:r>
    <w:r w:rsidRPr="009052FF">
      <w:rPr>
        <w:lang w:val="fr-FR"/>
      </w:rPr>
      <w:instrText xml:space="preserve"> NUMPAGES </w:instrText>
    </w:r>
    <w:r w:rsidRPr="005B3914">
      <w:fldChar w:fldCharType="separate"/>
    </w:r>
    <w:r w:rsidR="00C2560F">
      <w:rPr>
        <w:noProof/>
        <w:lang w:val="fr-FR"/>
      </w:rPr>
      <w:t>11</w:t>
    </w:r>
    <w:r w:rsidRPr="005B3914">
      <w:fldChar w:fldCharType="end"/>
    </w:r>
    <w:r w:rsidRPr="009052FF">
      <w:rPr>
        <w:lang w:val="fr-FR"/>
      </w:rPr>
      <w:tab/>
    </w:r>
    <w:r w:rsidRPr="005B3914">
      <w:fldChar w:fldCharType="begin"/>
    </w:r>
    <w:r w:rsidRPr="009052FF">
      <w:rPr>
        <w:lang w:val="fr-FR"/>
      </w:rPr>
      <w:instrText xml:space="preserve"> REF InsideFooter </w:instrText>
    </w:r>
    <w:r w:rsidRPr="005B3914">
      <w:fldChar w:fldCharType="separate"/>
    </w:r>
    <w:r w:rsidR="00F67BD3" w:rsidRPr="00C2560F">
      <w:rPr>
        <w:rStyle w:val="HideTWBExt"/>
        <w:noProof w:val="0"/>
        <w:lang w:val="fr-FR"/>
      </w:rPr>
      <w:t>&lt;PathFdR&gt;</w:t>
    </w:r>
    <w:r w:rsidR="00F67BD3" w:rsidRPr="00C2560F">
      <w:rPr>
        <w:lang w:val="fr-FR"/>
      </w:rPr>
      <w:t>PR\1130719EN.docx</w:t>
    </w:r>
    <w:r w:rsidR="00F67BD3" w:rsidRPr="00C2560F">
      <w:rPr>
        <w:rStyle w:val="HideTWBExt"/>
        <w:noProof w:val="0"/>
        <w:lang w:val="fr-FR"/>
      </w:rPr>
      <w:t>&lt;/PathFdR&gt;</w:t>
    </w:r>
    <w:r w:rsidRPr="005B3914">
      <w:fldChar w:fldCharType="end"/>
    </w:r>
  </w:p>
  <w:p w14:paraId="31D4F4CA" w14:textId="77777777" w:rsidR="00C978E3" w:rsidRPr="009005FB" w:rsidRDefault="00C978E3">
    <w:pPr>
      <w:pStyle w:val="Footer2"/>
      <w:rPr>
        <w:lang w:val="fr-FR"/>
      </w:rPr>
    </w:pPr>
    <w:r>
      <w:fldChar w:fldCharType="begin"/>
    </w:r>
    <w:r w:rsidRPr="009005FB">
      <w:rPr>
        <w:lang w:val="fr-FR"/>
      </w:rPr>
      <w:instrText xml:space="preserve"> DOCPROPERTY "&lt;Extension&gt;" </w:instrText>
    </w:r>
    <w:r>
      <w:fldChar w:fldCharType="separate"/>
    </w:r>
    <w:r w:rsidR="00F67BD3">
      <w:rPr>
        <w:lang w:val="fr-FR"/>
      </w:rP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94C36" w14:textId="77777777" w:rsidR="00C978E3" w:rsidRPr="005B3914" w:rsidRDefault="009307D7">
    <w:pPr>
      <w:pStyle w:val="Footer"/>
      <w:tabs>
        <w:tab w:val="right" w:pos="9356"/>
      </w:tabs>
    </w:pPr>
    <w:fldSimple w:instr=" REF InsideFooter ">
      <w:r w:rsidR="00F67BD3" w:rsidRPr="005B3914">
        <w:rPr>
          <w:rStyle w:val="HideTWBExt"/>
          <w:noProof w:val="0"/>
        </w:rPr>
        <w:t>&lt;PathFdR&gt;</w:t>
      </w:r>
      <w:r w:rsidR="00F67BD3" w:rsidRPr="00DC71E7">
        <w:t>PR\1130719EN.docx</w:t>
      </w:r>
      <w:r w:rsidR="00F67BD3" w:rsidRPr="005B3914">
        <w:rPr>
          <w:rStyle w:val="HideTWBExt"/>
          <w:noProof w:val="0"/>
        </w:rPr>
        <w:t>&lt;/PathFdR&gt;</w:t>
      </w:r>
    </w:fldSimple>
    <w:r w:rsidR="00C978E3" w:rsidRPr="005B3914">
      <w:tab/>
    </w:r>
    <w:r w:rsidR="00C978E3" w:rsidRPr="005B3914">
      <w:fldChar w:fldCharType="begin"/>
    </w:r>
    <w:r w:rsidR="00C978E3" w:rsidRPr="005B3914">
      <w:instrText xml:space="preserve"> PAGE </w:instrText>
    </w:r>
    <w:r w:rsidR="00C978E3" w:rsidRPr="005B3914">
      <w:fldChar w:fldCharType="separate"/>
    </w:r>
    <w:r w:rsidR="00C2560F">
      <w:rPr>
        <w:noProof/>
      </w:rPr>
      <w:t>11</w:t>
    </w:r>
    <w:r w:rsidR="00C978E3" w:rsidRPr="005B3914">
      <w:fldChar w:fldCharType="end"/>
    </w:r>
    <w:r w:rsidR="00C978E3" w:rsidRPr="005B3914">
      <w:t>/</w:t>
    </w:r>
    <w:fldSimple w:instr=" NUMPAGES ">
      <w:r w:rsidR="00C2560F">
        <w:rPr>
          <w:noProof/>
        </w:rPr>
        <w:t>11</w:t>
      </w:r>
    </w:fldSimple>
    <w:r w:rsidR="00C978E3" w:rsidRPr="005B3914">
      <w:tab/>
    </w:r>
    <w:fldSimple w:instr=" REF OutsideFooter ">
      <w:r w:rsidR="00F67BD3" w:rsidRPr="005B3914">
        <w:t>PE</w:t>
      </w:r>
      <w:r w:rsidR="00F67BD3" w:rsidRPr="005B3914">
        <w:rPr>
          <w:rStyle w:val="HideTWBExt"/>
          <w:noProof w:val="0"/>
        </w:rPr>
        <w:t>&lt;NoPE&gt;</w:t>
      </w:r>
      <w:r w:rsidR="00F67BD3">
        <w:t>608.038</w:t>
      </w:r>
      <w:r w:rsidR="00F67BD3" w:rsidRPr="005B3914">
        <w:rPr>
          <w:rStyle w:val="HideTWBExt"/>
          <w:noProof w:val="0"/>
        </w:rPr>
        <w:t>&lt;/NoPE&gt;&lt;Version&gt;</w:t>
      </w:r>
      <w:r w:rsidR="00F67BD3" w:rsidRPr="005B3914">
        <w:t>v</w:t>
      </w:r>
      <w:r w:rsidR="00F67BD3">
        <w:t>01-00</w:t>
      </w:r>
      <w:r w:rsidR="00F67BD3" w:rsidRPr="005B3914">
        <w:rPr>
          <w:rStyle w:val="HideTWBExt"/>
          <w:noProof w:val="0"/>
        </w:rPr>
        <w:t>&lt;/Version&gt;</w:t>
      </w:r>
    </w:fldSimple>
  </w:p>
  <w:p w14:paraId="283D7E9F" w14:textId="77777777" w:rsidR="00C978E3" w:rsidRPr="005B3914" w:rsidRDefault="00C978E3">
    <w:pPr>
      <w:pStyle w:val="Footer2"/>
    </w:pPr>
    <w:r w:rsidRPr="005B3914">
      <w:tab/>
    </w:r>
    <w:fldSimple w:instr=" DOCPROPERTY &quot;&lt;Extension&gt;&quot; ">
      <w:r w:rsidR="00F67BD3">
        <w:t>EN</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4B27" w14:textId="77777777" w:rsidR="00C978E3" w:rsidRPr="005B3914" w:rsidRDefault="00C978E3">
    <w:pPr>
      <w:pStyle w:val="Footer"/>
    </w:pPr>
    <w:bookmarkStart w:id="7" w:name="InsideFooter"/>
    <w:r w:rsidRPr="005B3914">
      <w:rPr>
        <w:rStyle w:val="HideTWBExt"/>
        <w:noProof w:val="0"/>
      </w:rPr>
      <w:t>&lt;PathFdR&gt;</w:t>
    </w:r>
    <w:r w:rsidRPr="00DC71E7">
      <w:t>PR\1130719EN.docx</w:t>
    </w:r>
    <w:r w:rsidRPr="005B3914">
      <w:rPr>
        <w:rStyle w:val="HideTWBExt"/>
        <w:noProof w:val="0"/>
      </w:rPr>
      <w:t>&lt;/PathFdR&gt;</w:t>
    </w:r>
    <w:bookmarkEnd w:id="7"/>
    <w:r w:rsidRPr="005B3914">
      <w:tab/>
    </w:r>
    <w:r w:rsidRPr="005B3914">
      <w:tab/>
    </w:r>
    <w:bookmarkStart w:id="8" w:name="OutsideFooter"/>
    <w:r w:rsidRPr="005B3914">
      <w:t>PE</w:t>
    </w:r>
    <w:r w:rsidRPr="005B3914">
      <w:rPr>
        <w:rStyle w:val="HideTWBExt"/>
        <w:noProof w:val="0"/>
      </w:rPr>
      <w:t>&lt;NoPE&gt;</w:t>
    </w:r>
    <w:r>
      <w:t>608.038</w:t>
    </w:r>
    <w:r w:rsidRPr="005B3914">
      <w:rPr>
        <w:rStyle w:val="HideTWBExt"/>
        <w:noProof w:val="0"/>
      </w:rPr>
      <w:t>&lt;/NoPE&gt;&lt;Version&gt;</w:t>
    </w:r>
    <w:r w:rsidRPr="005B3914">
      <w:t>v</w:t>
    </w:r>
    <w:r>
      <w:t>01-00</w:t>
    </w:r>
    <w:r w:rsidRPr="005B3914">
      <w:rPr>
        <w:rStyle w:val="HideTWBExt"/>
        <w:noProof w:val="0"/>
      </w:rPr>
      <w:t>&lt;/Version&gt;</w:t>
    </w:r>
    <w:bookmarkEnd w:id="8"/>
  </w:p>
  <w:p w14:paraId="2DA816D9" w14:textId="77777777" w:rsidR="00C978E3" w:rsidRPr="005B3914" w:rsidRDefault="009307D7" w:rsidP="00921474">
    <w:pPr>
      <w:pStyle w:val="Footer2"/>
      <w:tabs>
        <w:tab w:val="center" w:pos="4536"/>
      </w:tabs>
    </w:pPr>
    <w:fldSimple w:instr=" DOCPROPERTY &quot;&lt;Extension&gt;&quot; ">
      <w:r w:rsidR="00F67BD3">
        <w:t>EN</w:t>
      </w:r>
    </w:fldSimple>
    <w:r w:rsidR="00C978E3" w:rsidRPr="005B3914">
      <w:rPr>
        <w:color w:val="C0C0C0"/>
      </w:rPr>
      <w:tab/>
    </w:r>
    <w:r w:rsidR="00C978E3">
      <w:rPr>
        <w:b w:val="0"/>
        <w:i/>
        <w:color w:val="C0C0C0"/>
        <w:sz w:val="22"/>
        <w:szCs w:val="22"/>
      </w:rPr>
      <w:t>United in diversity</w:t>
    </w:r>
    <w:r w:rsidR="00C978E3" w:rsidRPr="005B3914">
      <w:rPr>
        <w:color w:val="C0C0C0"/>
      </w:rPr>
      <w:tab/>
    </w:r>
    <w:fldSimple w:instr=" DOCPROPERTY &quot;&lt;Extension&gt;&quot; ">
      <w:r w:rsidR="00F67BD3">
        <w:t>EN</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4470C" w14:textId="77777777" w:rsidR="00C978E3" w:rsidRPr="005B3914" w:rsidRDefault="00C978E3">
      <w:r w:rsidRPr="005B3914">
        <w:separator/>
      </w:r>
    </w:p>
  </w:footnote>
  <w:footnote w:type="continuationSeparator" w:id="0">
    <w:p w14:paraId="639B04DD" w14:textId="77777777" w:rsidR="00C978E3" w:rsidRPr="005B3914" w:rsidRDefault="00C978E3">
      <w:r w:rsidRPr="005B3914">
        <w:continuationSeparator/>
      </w:r>
    </w:p>
  </w:footnote>
  <w:footnote w:id="1">
    <w:p w14:paraId="2CEEB70A" w14:textId="2BEC6C6D" w:rsidR="00C978E3" w:rsidRPr="00C47C95" w:rsidRDefault="00C978E3" w:rsidP="00ED56B7">
      <w:pPr>
        <w:pStyle w:val="FootnoteText"/>
        <w:rPr>
          <w:lang w:val="en-GB"/>
        </w:rPr>
      </w:pPr>
      <w:r w:rsidRPr="00AC1996">
        <w:rPr>
          <w:rStyle w:val="FootnoteReference"/>
        </w:rPr>
        <w:footnoteRef/>
      </w:r>
      <w:r w:rsidRPr="00C47C95">
        <w:rPr>
          <w:lang w:val="en-GB"/>
        </w:rPr>
        <w:t xml:space="preserve"> P7_TA(2013)0082</w:t>
      </w:r>
      <w:r>
        <w:rPr>
          <w:lang w:val="en-GB"/>
        </w:rPr>
        <w:t>.</w:t>
      </w:r>
    </w:p>
  </w:footnote>
  <w:footnote w:id="2">
    <w:p w14:paraId="6E845543" w14:textId="59D1E41B" w:rsidR="00C978E3" w:rsidRPr="005969B4" w:rsidRDefault="00C978E3" w:rsidP="002743C6">
      <w:pPr>
        <w:pStyle w:val="FootnoteText"/>
        <w:jc w:val="both"/>
        <w:rPr>
          <w:lang w:val="en-GB"/>
        </w:rPr>
      </w:pPr>
      <w:r>
        <w:rPr>
          <w:rStyle w:val="FootnoteReference"/>
        </w:rPr>
        <w:footnoteRef/>
      </w:r>
      <w:r w:rsidRPr="005969B4">
        <w:rPr>
          <w:lang w:val="en-GB"/>
        </w:rPr>
        <w:t xml:space="preserve"> </w:t>
      </w:r>
      <w:r>
        <w:rPr>
          <w:lang w:val="en-GB"/>
        </w:rPr>
        <w:t xml:space="preserve">Texts adopted, </w:t>
      </w:r>
      <w:r w:rsidRPr="00E960ED">
        <w:rPr>
          <w:lang w:val="en-GB"/>
        </w:rPr>
        <w:t>P8_TA(2015)0395</w:t>
      </w:r>
      <w:r>
        <w:rPr>
          <w:lang w:val="en-GB"/>
        </w:rPr>
        <w:t>.</w:t>
      </w:r>
    </w:p>
  </w:footnote>
  <w:footnote w:id="3">
    <w:p w14:paraId="19E9879D" w14:textId="592927B4" w:rsidR="00C978E3" w:rsidRPr="00F4141C" w:rsidRDefault="00C978E3" w:rsidP="00ED56B7">
      <w:pPr>
        <w:pStyle w:val="FootnoteText"/>
        <w:rPr>
          <w:lang w:val="en-GB"/>
        </w:rPr>
      </w:pPr>
      <w:r>
        <w:rPr>
          <w:rStyle w:val="FootnoteReference"/>
        </w:rPr>
        <w:footnoteRef/>
      </w:r>
      <w:r w:rsidRPr="00F4141C">
        <w:rPr>
          <w:lang w:val="en-GB"/>
        </w:rPr>
        <w:t xml:space="preserve"> </w:t>
      </w:r>
      <w:r w:rsidRPr="00E03E7F">
        <w:rPr>
          <w:lang w:val="en-GB"/>
        </w:rPr>
        <w:t>R</w:t>
      </w:r>
      <w:r>
        <w:rPr>
          <w:lang w:val="en-GB"/>
        </w:rPr>
        <w:t>egulation</w:t>
      </w:r>
      <w:r w:rsidRPr="00E03E7F">
        <w:rPr>
          <w:lang w:val="en-GB"/>
        </w:rPr>
        <w:t xml:space="preserve"> (EU) No 1260/2013 </w:t>
      </w:r>
      <w:r>
        <w:rPr>
          <w:lang w:val="en-GB"/>
        </w:rPr>
        <w:t xml:space="preserve">of the European Parliament and of the Council </w:t>
      </w:r>
      <w:r w:rsidRPr="00E03E7F">
        <w:rPr>
          <w:lang w:val="en-GB"/>
        </w:rPr>
        <w:t>of 20 November 2013 on European demographic statistics</w:t>
      </w:r>
      <w:r>
        <w:rPr>
          <w:lang w:val="en-GB"/>
        </w:rPr>
        <w:t xml:space="preserve"> (</w:t>
      </w:r>
      <w:r w:rsidRPr="00703E48">
        <w:rPr>
          <w:lang w:val="en-GB"/>
        </w:rPr>
        <w:t>OJ L 330, 10.12.2013, p. 39</w:t>
      </w:r>
      <w:r>
        <w:rPr>
          <w:lang w:val="en-GB"/>
        </w:rPr>
        <w:t>).</w:t>
      </w:r>
    </w:p>
  </w:footnote>
  <w:footnote w:id="4">
    <w:p w14:paraId="2F043F71" w14:textId="27FBBE33" w:rsidR="00C978E3" w:rsidRPr="0034789B" w:rsidRDefault="00C978E3" w:rsidP="00ED56B7">
      <w:pPr>
        <w:pStyle w:val="FootnoteText"/>
        <w:rPr>
          <w:lang w:val="en-GB"/>
        </w:rPr>
      </w:pPr>
      <w:r>
        <w:rPr>
          <w:rStyle w:val="FootnoteReference"/>
        </w:rPr>
        <w:footnoteRef/>
      </w:r>
      <w:r w:rsidRPr="0034789B">
        <w:rPr>
          <w:lang w:val="en-GB"/>
        </w:rPr>
        <w:t xml:space="preserve"> </w:t>
      </w:r>
      <w:r>
        <w:rPr>
          <w:lang w:val="en-GB"/>
        </w:rPr>
        <w:t>European Council Decision No 2013/312/EU of 28 June 2013 establishing the composition of the European Parliament (OJ L 181 of 29.6.2013, p. 57).</w:t>
      </w:r>
    </w:p>
  </w:footnote>
  <w:footnote w:id="5">
    <w:p w14:paraId="5102AEBD" w14:textId="77777777" w:rsidR="00C978E3" w:rsidRPr="00920540" w:rsidRDefault="00C978E3" w:rsidP="00ED56B7">
      <w:pPr>
        <w:pStyle w:val="FootnoteText"/>
        <w:rPr>
          <w:lang w:val="en-GB"/>
        </w:rPr>
      </w:pPr>
      <w:r w:rsidRPr="00C72670">
        <w:rPr>
          <w:rStyle w:val="FootnoteReference"/>
        </w:rPr>
        <w:footnoteRef/>
      </w:r>
      <w:r w:rsidRPr="00920540">
        <w:rPr>
          <w:lang w:val="en-GB"/>
        </w:rPr>
        <w:t xml:space="preserve"> French, British and Spanish MEPs represented more citizens than German Members, Dutch MEPs represented more citizens than Romanian Members, Swedish and Austrian MEPs more than Hungarian, Danish had more representatives per Member than Bulgarian and Irish more than Slovak</w:t>
      </w:r>
    </w:p>
  </w:footnote>
  <w:footnote w:id="6">
    <w:p w14:paraId="6EF65695" w14:textId="77777777" w:rsidR="00C978E3" w:rsidRPr="00920540" w:rsidRDefault="00C978E3" w:rsidP="00ED56B7">
      <w:pPr>
        <w:pStyle w:val="FootnoteText"/>
        <w:rPr>
          <w:lang w:val="en-GB"/>
        </w:rPr>
      </w:pPr>
      <w:r w:rsidRPr="00C72670">
        <w:rPr>
          <w:rStyle w:val="FootnoteReference"/>
        </w:rPr>
        <w:footnoteRef/>
      </w:r>
      <w:r w:rsidRPr="00920540">
        <w:rPr>
          <w:lang w:val="en-GB"/>
        </w:rPr>
        <w:t xml:space="preserve"> This issue is raised in Parliament resolutions P6_TA(2007)0429 and P7_TA-PROV(2014)0082</w:t>
      </w:r>
    </w:p>
  </w:footnote>
  <w:footnote w:id="7">
    <w:p w14:paraId="7B648EBB" w14:textId="77777777" w:rsidR="00C978E3" w:rsidRPr="00920540" w:rsidRDefault="00C978E3" w:rsidP="00ED56B7">
      <w:pPr>
        <w:pStyle w:val="FootnoteText"/>
        <w:rPr>
          <w:lang w:val="en-GB"/>
        </w:rPr>
      </w:pPr>
      <w:r w:rsidRPr="00C72670">
        <w:rPr>
          <w:rStyle w:val="FootnoteReference"/>
        </w:rPr>
        <w:footnoteRef/>
      </w:r>
      <w:r w:rsidRPr="00920540">
        <w:rPr>
          <w:lang w:val="en-GB"/>
        </w:rPr>
        <w:t xml:space="preserve"> Note on the allocation between member states of the seats in the European Parliament</w:t>
      </w:r>
    </w:p>
    <w:p w14:paraId="5BC49ED5" w14:textId="77777777" w:rsidR="00C978E3" w:rsidRPr="00920540" w:rsidRDefault="00C2560F" w:rsidP="00ED56B7">
      <w:pPr>
        <w:pStyle w:val="FootnoteText"/>
        <w:rPr>
          <w:lang w:val="en-GB"/>
        </w:rPr>
      </w:pPr>
      <w:hyperlink r:id="rId1" w:history="1">
        <w:r w:rsidR="00C978E3" w:rsidRPr="00920540">
          <w:rPr>
            <w:rStyle w:val="Hyperlink"/>
            <w:lang w:val="en-GB"/>
          </w:rPr>
          <w:t>http://www.europarl.europa.eu/RegData/etudes/note/join/2011/432760/IPOL-AFCO_NT(2011)432760_EN.pdf</w:t>
        </w:r>
      </w:hyperlink>
      <w:r w:rsidR="00C978E3" w:rsidRPr="00920540">
        <w:rPr>
          <w:lang w:val="en-GB"/>
        </w:rPr>
        <w:t xml:space="preserve"> and In-depth analysis on the “reform of the European Parliament: composition, procedure and legitimacy”: </w:t>
      </w:r>
      <w:hyperlink r:id="rId2" w:history="1">
        <w:r w:rsidR="00C978E3" w:rsidRPr="00920540">
          <w:rPr>
            <w:rStyle w:val="Hyperlink"/>
            <w:lang w:val="en-GB"/>
          </w:rPr>
          <w:t>http://www.europarl.europa.eu/RegData/etudes/IDAN/2015/510002/IPOL_IDA(2015)510002_EN.pdf</w:t>
        </w:r>
      </w:hyperlink>
      <w:r w:rsidR="00C978E3" w:rsidRPr="00920540">
        <w:rPr>
          <w:lang w:val="en-GB"/>
        </w:rPr>
        <w:t xml:space="preserve"> </w:t>
      </w:r>
    </w:p>
  </w:footnote>
  <w:footnote w:id="8">
    <w:p w14:paraId="210E37CF" w14:textId="77777777" w:rsidR="00C978E3" w:rsidRPr="00920540" w:rsidRDefault="00C978E3" w:rsidP="00ED56B7">
      <w:pPr>
        <w:pStyle w:val="FootnoteText"/>
        <w:rPr>
          <w:lang w:val="en-GB"/>
        </w:rPr>
      </w:pPr>
      <w:r w:rsidRPr="00C72670">
        <w:rPr>
          <w:rStyle w:val="FootnoteReference"/>
        </w:rPr>
        <w:footnoteRef/>
      </w:r>
      <w:r w:rsidRPr="00920540">
        <w:rPr>
          <w:lang w:val="en-GB"/>
        </w:rPr>
        <w:t xml:space="preserve"> P6_TA (2013) 0082</w:t>
      </w:r>
    </w:p>
  </w:footnote>
  <w:footnote w:id="9">
    <w:p w14:paraId="397FBF4A" w14:textId="77777777" w:rsidR="00C978E3" w:rsidRPr="00920540" w:rsidRDefault="00C978E3" w:rsidP="00ED56B7">
      <w:pPr>
        <w:pStyle w:val="FootnoteText"/>
        <w:rPr>
          <w:lang w:val="en-GB"/>
        </w:rPr>
      </w:pPr>
      <w:r>
        <w:rPr>
          <w:rStyle w:val="FootnoteReference"/>
        </w:rPr>
        <w:footnoteRef/>
      </w:r>
      <w:r w:rsidRPr="00920540">
        <w:rPr>
          <w:lang w:val="en-GB"/>
        </w:rPr>
        <w:t xml:space="preserve"> European Council Decision of 28 June 2013 establishing the composition of the European Parliament</w:t>
      </w:r>
    </w:p>
  </w:footnote>
  <w:footnote w:id="10">
    <w:p w14:paraId="74DA5179" w14:textId="77777777" w:rsidR="00C978E3" w:rsidRPr="000B4C8B" w:rsidRDefault="00C978E3" w:rsidP="00ED56B7">
      <w:pPr>
        <w:pStyle w:val="FootnoteText"/>
        <w:rPr>
          <w:lang w:val="en-GB"/>
        </w:rPr>
      </w:pPr>
      <w:r>
        <w:rPr>
          <w:rStyle w:val="FootnoteReference"/>
        </w:rPr>
        <w:footnoteRef/>
      </w:r>
      <w:r w:rsidRPr="000B4C8B">
        <w:rPr>
          <w:lang w:val="en-GB"/>
        </w:rPr>
        <w:t xml:space="preserve"> </w:t>
      </w:r>
      <w:r w:rsidRPr="000B4C8B">
        <w:rPr>
          <w:rStyle w:val="Hyperlink"/>
          <w:lang w:val="en-GB"/>
        </w:rPr>
        <w:t>I</w:t>
      </w:r>
      <w:hyperlink r:id="rId3" w:history="1">
        <w:r w:rsidRPr="000B4C8B">
          <w:rPr>
            <w:rStyle w:val="Hyperlink"/>
            <w:lang w:val="en-GB"/>
          </w:rPr>
          <w:t>n-depth analysis on the Composition of the European Parliament</w:t>
        </w:r>
      </w:hyperlink>
      <w:r>
        <w:rPr>
          <w:rStyle w:val="Hyperlink"/>
          <w:lang w:val="en-GB"/>
        </w:rPr>
        <w:t xml:space="preserve">, Policy Department C, </w:t>
      </w:r>
      <w:r w:rsidRPr="000B4C8B">
        <w:rPr>
          <w:rStyle w:val="Hyperlink"/>
          <w:lang w:val="en-GB"/>
        </w:rPr>
        <w:t xml:space="preserve">PE583.117 and the proposals for </w:t>
      </w:r>
      <w:r>
        <w:rPr>
          <w:rStyle w:val="Hyperlink"/>
          <w:lang w:val="en-GB"/>
        </w:rPr>
        <w:t xml:space="preserve">the </w:t>
      </w:r>
      <w:r w:rsidRPr="000B4C8B">
        <w:rPr>
          <w:rStyle w:val="Hyperlink"/>
          <w:lang w:val="en-GB"/>
        </w:rPr>
        <w:t xml:space="preserve">FPS method </w:t>
      </w:r>
      <w:r w:rsidRPr="002C5959">
        <w:rPr>
          <w:rStyle w:val="Hyperlink"/>
          <w:lang w:val="en-GB"/>
        </w:rPr>
        <w:t>by Prof. Victoriano Ramirez Gonzalez and the “700 No-loss Composition” solution proposed by Prof. Grimmett, Prof. Pukelsheim, Prof. Ramirez Gonzalez, Prof. Slomczynski and Prof. Zyczkowski</w:t>
      </w:r>
    </w:p>
  </w:footnote>
  <w:footnote w:id="11">
    <w:p w14:paraId="767475C1" w14:textId="77777777" w:rsidR="00C978E3" w:rsidRPr="00AD38B9" w:rsidRDefault="00C978E3" w:rsidP="00ED56B7">
      <w:pPr>
        <w:pStyle w:val="FootnoteText"/>
        <w:rPr>
          <w:lang w:val="en-GB"/>
        </w:rPr>
      </w:pPr>
      <w:r>
        <w:rPr>
          <w:rStyle w:val="FootnoteReference"/>
        </w:rPr>
        <w:footnoteRef/>
      </w:r>
      <w:r w:rsidRPr="009177D0">
        <w:rPr>
          <w:lang w:val="en-GB"/>
        </w:rPr>
        <w:t xml:space="preserve"> As established by Council Decision 2016/2353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30705" w14:textId="77777777" w:rsidR="009005FB" w:rsidRDefault="00900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6BBD" w14:textId="77777777" w:rsidR="009005FB" w:rsidRDefault="00900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0975" w14:textId="77777777" w:rsidR="009005FB" w:rsidRDefault="00900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5336A"/>
    <w:multiLevelType w:val="hybridMultilevel"/>
    <w:tmpl w:val="4F3AB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767B0"/>
    <w:multiLevelType w:val="hybridMultilevel"/>
    <w:tmpl w:val="0D6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7C396E"/>
    <w:multiLevelType w:val="hybridMultilevel"/>
    <w:tmpl w:val="EA72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3"/>
    <w:docVar w:name="COMKEY" w:val="AFCO"/>
    <w:docVar w:name="CopyToNetwork" w:val="-1"/>
    <w:docVar w:name="LastEditedSection" w:val=" 1"/>
    <w:docVar w:name="strDocTypeID" w:val="PR_INL"/>
    <w:docVar w:name="strSubDir" w:val="1130"/>
    <w:docVar w:name="TXTLANGUE" w:val="EN"/>
    <w:docVar w:name="TXTLANGUEMIN" w:val="en"/>
    <w:docVar w:name="TXTNRINL" w:val="2017/2054"/>
    <w:docVar w:name="TXTNRPE" w:val="608.038"/>
    <w:docVar w:name="TXTPEorAP" w:val="PE"/>
    <w:docVar w:name="TXTROUTE" w:val="PR\1130719EN.docx"/>
    <w:docVar w:name="TXTTITLE" w:val="...."/>
    <w:docVar w:name="TXTVERSION" w:val="01-00"/>
  </w:docVars>
  <w:rsids>
    <w:rsidRoot w:val="005B3914"/>
    <w:rsid w:val="000054D6"/>
    <w:rsid w:val="00007EDE"/>
    <w:rsid w:val="000163ED"/>
    <w:rsid w:val="000535BB"/>
    <w:rsid w:val="000D2714"/>
    <w:rsid w:val="001149AD"/>
    <w:rsid w:val="00126C3F"/>
    <w:rsid w:val="001302AA"/>
    <w:rsid w:val="00180885"/>
    <w:rsid w:val="0018252E"/>
    <w:rsid w:val="001A502C"/>
    <w:rsid w:val="001E5115"/>
    <w:rsid w:val="00246FFC"/>
    <w:rsid w:val="002743C6"/>
    <w:rsid w:val="002B3F41"/>
    <w:rsid w:val="002D5043"/>
    <w:rsid w:val="002E11C3"/>
    <w:rsid w:val="0032795A"/>
    <w:rsid w:val="004874AF"/>
    <w:rsid w:val="00511904"/>
    <w:rsid w:val="005969B4"/>
    <w:rsid w:val="005B3914"/>
    <w:rsid w:val="006432B2"/>
    <w:rsid w:val="006E1DCB"/>
    <w:rsid w:val="00703E48"/>
    <w:rsid w:val="007255C3"/>
    <w:rsid w:val="007324F6"/>
    <w:rsid w:val="00736DD2"/>
    <w:rsid w:val="00736FBE"/>
    <w:rsid w:val="008F2355"/>
    <w:rsid w:val="009005FB"/>
    <w:rsid w:val="009052FF"/>
    <w:rsid w:val="00921474"/>
    <w:rsid w:val="009307D7"/>
    <w:rsid w:val="00957CA7"/>
    <w:rsid w:val="009E640F"/>
    <w:rsid w:val="009E6E1A"/>
    <w:rsid w:val="00A14348"/>
    <w:rsid w:val="00A1681E"/>
    <w:rsid w:val="00A5291F"/>
    <w:rsid w:val="00AA7B89"/>
    <w:rsid w:val="00AB727F"/>
    <w:rsid w:val="00AC40A2"/>
    <w:rsid w:val="00AD1467"/>
    <w:rsid w:val="00AF0D4F"/>
    <w:rsid w:val="00BC764F"/>
    <w:rsid w:val="00BD2C91"/>
    <w:rsid w:val="00BD7032"/>
    <w:rsid w:val="00BF1602"/>
    <w:rsid w:val="00BF3C25"/>
    <w:rsid w:val="00C2560F"/>
    <w:rsid w:val="00C30980"/>
    <w:rsid w:val="00C44FB7"/>
    <w:rsid w:val="00C802B6"/>
    <w:rsid w:val="00C96566"/>
    <w:rsid w:val="00C978E3"/>
    <w:rsid w:val="00D13EA3"/>
    <w:rsid w:val="00D1551E"/>
    <w:rsid w:val="00D15D7A"/>
    <w:rsid w:val="00D4717C"/>
    <w:rsid w:val="00DA5BEC"/>
    <w:rsid w:val="00DB1299"/>
    <w:rsid w:val="00DC71E7"/>
    <w:rsid w:val="00DD249E"/>
    <w:rsid w:val="00E4043F"/>
    <w:rsid w:val="00E71939"/>
    <w:rsid w:val="00EA5121"/>
    <w:rsid w:val="00EB420E"/>
    <w:rsid w:val="00ED56B7"/>
    <w:rsid w:val="00EF3A25"/>
    <w:rsid w:val="00F314A1"/>
    <w:rsid w:val="00F67BD3"/>
    <w:rsid w:val="00F8074D"/>
    <w:rsid w:val="00FD2990"/>
    <w:rsid w:val="00FF26C9"/>
    <w:rsid w:val="00FF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63425D"/>
  <w15:chartTrackingRefBased/>
  <w15:docId w15:val="{EEC2B0D1-6ABB-4F0B-817A-82A73AD4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46FFC"/>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D2C91"/>
    <w:pPr>
      <w:tabs>
        <w:tab w:val="left" w:pos="567"/>
      </w:tabs>
    </w:pPr>
  </w:style>
  <w:style w:type="paragraph" w:customStyle="1" w:styleId="RefProc">
    <w:name w:val="RefProc"/>
    <w:basedOn w:val="Normal"/>
    <w:rsid w:val="009E6E1A"/>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9">
    <w:name w:val="toc 9"/>
    <w:basedOn w:val="Normal"/>
    <w:next w:val="Normal"/>
    <w:autoRedefine/>
    <w:semiHidden/>
    <w:pPr>
      <w:ind w:left="1920"/>
    </w:pPr>
  </w:style>
  <w:style w:type="paragraph" w:customStyle="1" w:styleId="Normal12a12bHanging">
    <w:name w:val="Normal12a12bHanging"/>
    <w:basedOn w:val="Normal"/>
    <w:rsid w:val="00BD2C91"/>
    <w:pPr>
      <w:spacing w:before="240" w:after="240"/>
      <w:ind w:left="567" w:hanging="567"/>
    </w:pPr>
  </w:style>
  <w:style w:type="table" w:styleId="TableGrid">
    <w:name w:val="Table Grid"/>
    <w:basedOn w:val="TableNormal"/>
    <w:rsid w:val="0092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21474"/>
    <w:pPr>
      <w:jc w:val="center"/>
    </w:pPr>
    <w:rPr>
      <w:rFonts w:ascii="Arial" w:hAnsi="Arial" w:cs="Arial"/>
      <w:i/>
      <w:sz w:val="22"/>
      <w:szCs w:val="22"/>
      <w:lang w:val="fr-FR"/>
    </w:rPr>
  </w:style>
  <w:style w:type="paragraph" w:customStyle="1" w:styleId="LineTop">
    <w:name w:val="LineTop"/>
    <w:basedOn w:val="Normal"/>
    <w:next w:val="ZCommittee"/>
    <w:rsid w:val="0092147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921474"/>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46FFC"/>
    <w:pPr>
      <w:spacing w:after="80"/>
    </w:pPr>
    <w:rPr>
      <w:rFonts w:ascii="Arial" w:hAnsi="Arial" w:cs="Arial"/>
      <w:sz w:val="20"/>
      <w:szCs w:val="22"/>
      <w:lang w:val="fr-FR"/>
    </w:rPr>
  </w:style>
  <w:style w:type="paragraph" w:customStyle="1" w:styleId="EPLogo">
    <w:name w:val="EPLogo"/>
    <w:basedOn w:val="Normal"/>
    <w:qFormat/>
    <w:rsid w:val="00246FFC"/>
    <w:pPr>
      <w:jc w:val="right"/>
    </w:pPr>
  </w:style>
  <w:style w:type="paragraph" w:styleId="FootnoteText">
    <w:name w:val="footnote text"/>
    <w:basedOn w:val="Normal"/>
    <w:link w:val="FootnoteTextChar"/>
    <w:uiPriority w:val="99"/>
    <w:rsid w:val="00DC71E7"/>
    <w:rPr>
      <w:sz w:val="20"/>
      <w:lang w:val="fr-FR"/>
    </w:rPr>
  </w:style>
  <w:style w:type="character" w:customStyle="1" w:styleId="FootnoteTextChar">
    <w:name w:val="Footnote Text Char"/>
    <w:basedOn w:val="DefaultParagraphFont"/>
    <w:link w:val="FootnoteText"/>
    <w:uiPriority w:val="99"/>
    <w:rsid w:val="00DC71E7"/>
    <w:rPr>
      <w:lang w:val="fr-FR"/>
    </w:rPr>
  </w:style>
  <w:style w:type="character" w:styleId="FootnoteReference">
    <w:name w:val="footnote reference"/>
    <w:uiPriority w:val="99"/>
    <w:rsid w:val="00DC71E7"/>
    <w:rPr>
      <w:vertAlign w:val="superscript"/>
    </w:rPr>
  </w:style>
  <w:style w:type="character" w:styleId="Hyperlink">
    <w:name w:val="Hyperlink"/>
    <w:uiPriority w:val="99"/>
    <w:unhideWhenUsed/>
    <w:rsid w:val="00DC71E7"/>
    <w:rPr>
      <w:color w:val="0000FF"/>
      <w:u w:val="single"/>
    </w:rPr>
  </w:style>
  <w:style w:type="paragraph" w:styleId="BalloonText">
    <w:name w:val="Balloon Text"/>
    <w:basedOn w:val="Normal"/>
    <w:link w:val="BalloonTextChar"/>
    <w:rsid w:val="004874AF"/>
    <w:rPr>
      <w:rFonts w:ascii="Segoe UI" w:hAnsi="Segoe UI" w:cs="Segoe UI"/>
      <w:sz w:val="18"/>
      <w:szCs w:val="18"/>
    </w:rPr>
  </w:style>
  <w:style w:type="character" w:customStyle="1" w:styleId="BalloonTextChar">
    <w:name w:val="Balloon Text Char"/>
    <w:basedOn w:val="DefaultParagraphFont"/>
    <w:link w:val="BalloonText"/>
    <w:rsid w:val="004874AF"/>
    <w:rPr>
      <w:rFonts w:ascii="Segoe UI" w:hAnsi="Segoe UI" w:cs="Segoe UI"/>
      <w:sz w:val="18"/>
      <w:szCs w:val="18"/>
    </w:rPr>
  </w:style>
  <w:style w:type="character" w:styleId="CommentReference">
    <w:name w:val="annotation reference"/>
    <w:basedOn w:val="DefaultParagraphFont"/>
    <w:rsid w:val="001149AD"/>
    <w:rPr>
      <w:sz w:val="16"/>
      <w:szCs w:val="16"/>
    </w:rPr>
  </w:style>
  <w:style w:type="paragraph" w:styleId="CommentText">
    <w:name w:val="annotation text"/>
    <w:basedOn w:val="Normal"/>
    <w:link w:val="CommentTextChar"/>
    <w:rsid w:val="001149AD"/>
    <w:rPr>
      <w:sz w:val="20"/>
    </w:rPr>
  </w:style>
  <w:style w:type="character" w:customStyle="1" w:styleId="CommentTextChar">
    <w:name w:val="Comment Text Char"/>
    <w:basedOn w:val="DefaultParagraphFont"/>
    <w:link w:val="CommentText"/>
    <w:rsid w:val="001149AD"/>
  </w:style>
  <w:style w:type="paragraph" w:styleId="CommentSubject">
    <w:name w:val="annotation subject"/>
    <w:basedOn w:val="CommentText"/>
    <w:next w:val="CommentText"/>
    <w:link w:val="CommentSubjectChar"/>
    <w:rsid w:val="001149AD"/>
    <w:rPr>
      <w:b/>
      <w:bCs/>
    </w:rPr>
  </w:style>
  <w:style w:type="character" w:customStyle="1" w:styleId="CommentSubjectChar">
    <w:name w:val="Comment Subject Char"/>
    <w:basedOn w:val="CommentTextChar"/>
    <w:link w:val="CommentSubject"/>
    <w:rsid w:val="001149AD"/>
    <w:rPr>
      <w:b/>
      <w:bCs/>
    </w:rPr>
  </w:style>
  <w:style w:type="paragraph" w:styleId="Revision">
    <w:name w:val="Revision"/>
    <w:hidden/>
    <w:uiPriority w:val="99"/>
    <w:semiHidden/>
    <w:rsid w:val="000535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6664">
      <w:bodyDiv w:val="1"/>
      <w:marLeft w:val="0"/>
      <w:marRight w:val="0"/>
      <w:marTop w:val="0"/>
      <w:marBottom w:val="0"/>
      <w:divBdr>
        <w:top w:val="none" w:sz="0" w:space="0" w:color="auto"/>
        <w:left w:val="none" w:sz="0" w:space="0" w:color="auto"/>
        <w:bottom w:val="none" w:sz="0" w:space="0" w:color="auto"/>
        <w:right w:val="none" w:sz="0" w:space="0" w:color="auto"/>
      </w:divBdr>
    </w:div>
    <w:div w:id="351149320">
      <w:bodyDiv w:val="1"/>
      <w:marLeft w:val="0"/>
      <w:marRight w:val="0"/>
      <w:marTop w:val="0"/>
      <w:marBottom w:val="0"/>
      <w:divBdr>
        <w:top w:val="none" w:sz="0" w:space="0" w:color="auto"/>
        <w:left w:val="none" w:sz="0" w:space="0" w:color="auto"/>
        <w:bottom w:val="none" w:sz="0" w:space="0" w:color="auto"/>
        <w:right w:val="none" w:sz="0" w:space="0" w:color="auto"/>
      </w:divBdr>
    </w:div>
    <w:div w:id="3960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RegData/etudes/IDAN/2017/583117/uIPOL_IDA(2017)583117_EN.pdf" TargetMode="External"/><Relationship Id="rId2" Type="http://schemas.openxmlformats.org/officeDocument/2006/relationships/hyperlink" Target="http://www.europarl.europa.eu/RegData/etudes/IDAN/2015/510002/IPOL_IDA(2015)510002_EN.pdf" TargetMode="External"/><Relationship Id="rId1" Type="http://schemas.openxmlformats.org/officeDocument/2006/relationships/hyperlink" Target="http://www.europarl.europa.eu/RegData/etudes/note/join/2011/432760/IPOL-AFCO_NT(2011)43276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6915-326F-4A03-ACA0-97BCD5FE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B4C7C8E3</Template>
  <TotalTime>0</TotalTime>
  <Pages>11</Pages>
  <Words>3107</Words>
  <Characters>17715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PR_INL</vt:lpstr>
    </vt:vector>
  </TitlesOfParts>
  <Company/>
  <LinksUpToDate>false</LinksUpToDate>
  <CharactersWithSpaces>20781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PR_INL</dc:title>
  <dc:subject/>
  <dc:creator>MLYNAROVA Slavka</dc:creator>
  <cp:keywords/>
  <dc:description/>
  <cp:lastModifiedBy>LE CLANCHE Veronique</cp:lastModifiedBy>
  <cp:revision>2</cp:revision>
  <cp:lastPrinted>2017-07-12T06:53:00Z</cp:lastPrinted>
  <dcterms:created xsi:type="dcterms:W3CDTF">2017-09-20T13:18:00Z</dcterms:created>
  <dcterms:modified xsi:type="dcterms:W3CDTF">2017-09-20T13:18:00Z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9.1.1 Build [20170901]</vt:lpwstr>
  </property>
  <property fmtid="{D5CDD505-2E9C-101B-9397-08002B2CF9AE}" pid="5" name="&lt;FdR&gt;">
    <vt:lpwstr>1130719</vt:lpwstr>
  </property>
  <property fmtid="{D5CDD505-2E9C-101B-9397-08002B2CF9AE}" pid="6" name="&lt;Type&gt;">
    <vt:lpwstr>PR</vt:lpwstr>
  </property>
  <property fmtid="{D5CDD505-2E9C-101B-9397-08002B2CF9AE}" pid="7" name="&lt;ModelCod&gt;">
    <vt:lpwstr>\\eiciBRUpr1\pdocep$\DocEP\DOCS\General\PR\PR_NonLeg\INL\PR_INL.dot(17/02/2016 11:44:49)</vt:lpwstr>
  </property>
  <property fmtid="{D5CDD505-2E9C-101B-9397-08002B2CF9AE}" pid="8" name="&lt;ModelTra&gt;">
    <vt:lpwstr>\\eiciBRUpr1\pdocep$\DocEP\TRANSFIL\EN\PR_INL.EN(26/05/2015 07:21:21)</vt:lpwstr>
  </property>
  <property fmtid="{D5CDD505-2E9C-101B-9397-08002B2CF9AE}" pid="9" name="&lt;Model&gt;">
    <vt:lpwstr>PR_INL</vt:lpwstr>
  </property>
  <property fmtid="{D5CDD505-2E9C-101B-9397-08002B2CF9AE}" pid="10" name="FooterPath">
    <vt:lpwstr>PR\1130719EN.docx</vt:lpwstr>
  </property>
  <property fmtid="{D5CDD505-2E9C-101B-9397-08002B2CF9AE}" pid="11" name="PE number">
    <vt:lpwstr>608.038</vt:lpwstr>
  </property>
  <property fmtid="{D5CDD505-2E9C-101B-9397-08002B2CF9AE}" pid="12" name="SubscribeElise">
    <vt:lpwstr/>
  </property>
  <property fmtid="{D5CDD505-2E9C-101B-9397-08002B2CF9AE}" pid="13" name="SendToEpades">
    <vt:lpwstr>OK - 2017/09/07 16:00</vt:lpwstr>
  </property>
</Properties>
</file>